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
        <w:spacing w:before="60" w:after="60"/>
        <w:outlineLvl w:val="0"/>
        <w:rPr>
          <w:rFonts w:eastAsia="宋体" w:cs="Arial"/>
          <w:sz w:val="24"/>
          <w:szCs w:val="24"/>
          <w:lang w:val="en-US" w:eastAsia="zh-CN"/>
        </w:rPr>
      </w:pPr>
      <w:r>
        <w:rPr>
          <w:rFonts w:eastAsia="宋体" w:cs="Arial"/>
          <w:sz w:val="24"/>
          <w:szCs w:val="24"/>
        </w:rPr>
        <w:t>3GPP TSG-RAN WG4 Meeting #116</w:t>
      </w:r>
      <w:r>
        <w:rPr>
          <w:rFonts w:hint="eastAsia" w:eastAsia="宋体" w:cs="Arial"/>
          <w:sz w:val="24"/>
          <w:szCs w:val="24"/>
        </w:rPr>
        <w:t xml:space="preserve">                                  </w:t>
      </w:r>
      <w:r>
        <w:rPr>
          <w:rFonts w:eastAsia="宋体" w:cs="Arial"/>
          <w:sz w:val="24"/>
          <w:szCs w:val="24"/>
        </w:rPr>
        <w:t>R4-2</w:t>
      </w:r>
      <w:r>
        <w:rPr>
          <w:rFonts w:hint="eastAsia" w:eastAsia="宋体" w:cs="Arial"/>
          <w:sz w:val="24"/>
          <w:szCs w:val="24"/>
        </w:rPr>
        <w:t>5</w:t>
      </w:r>
      <w:r>
        <w:rPr>
          <w:rFonts w:hint="eastAsia" w:eastAsia="宋体" w:cs="Arial"/>
          <w:sz w:val="24"/>
          <w:szCs w:val="24"/>
          <w:lang w:val="en-US" w:eastAsia="zh-CN"/>
        </w:rPr>
        <w:t>11026</w:t>
      </w:r>
      <w:bookmarkStart w:id="5" w:name="_GoBack"/>
      <w:bookmarkEnd w:id="5"/>
      <w:r>
        <w:rPr>
          <w:rFonts w:hint="eastAsia" w:eastAsia="宋体" w:cs="Arial"/>
          <w:sz w:val="24"/>
          <w:szCs w:val="24"/>
        </w:rPr>
        <w:t xml:space="preserve">                                                          </w:t>
      </w:r>
    </w:p>
    <w:p>
      <w:pPr>
        <w:pStyle w:val="28"/>
        <w:spacing w:before="60" w:after="60"/>
        <w:outlineLvl w:val="0"/>
        <w:rPr>
          <w:rFonts w:eastAsia="宋体" w:cs="Arial"/>
          <w:sz w:val="24"/>
          <w:szCs w:val="24"/>
        </w:rPr>
      </w:pPr>
      <w:r>
        <w:rPr>
          <w:rFonts w:eastAsia="宋体" w:cs="Arial"/>
          <w:sz w:val="24"/>
          <w:szCs w:val="24"/>
        </w:rPr>
        <w:t>Bangalore</w:t>
      </w:r>
      <w:r>
        <w:rPr>
          <w:rFonts w:hint="eastAsia" w:eastAsia="宋体" w:cs="Arial"/>
          <w:sz w:val="24"/>
          <w:szCs w:val="24"/>
        </w:rPr>
        <w:t>,</w:t>
      </w:r>
      <w:r>
        <w:rPr>
          <w:rFonts w:eastAsia="宋体" w:cs="Arial"/>
          <w:sz w:val="24"/>
          <w:szCs w:val="24"/>
        </w:rPr>
        <w:t xml:space="preserve"> India, 25</w:t>
      </w:r>
      <w:r>
        <w:rPr>
          <w:rFonts w:eastAsia="宋体" w:cs="Arial"/>
          <w:sz w:val="24"/>
          <w:szCs w:val="24"/>
          <w:vertAlign w:val="superscript"/>
        </w:rPr>
        <w:t>th</w:t>
      </w:r>
      <w:r>
        <w:rPr>
          <w:rFonts w:eastAsia="宋体" w:cs="Arial"/>
          <w:sz w:val="24"/>
          <w:szCs w:val="24"/>
        </w:rPr>
        <w:t xml:space="preserve"> – </w:t>
      </w:r>
      <w:r>
        <w:rPr>
          <w:rFonts w:hint="eastAsia" w:eastAsia="宋体" w:cs="Arial"/>
          <w:sz w:val="24"/>
          <w:szCs w:val="24"/>
        </w:rPr>
        <w:t>2</w:t>
      </w:r>
      <w:r>
        <w:rPr>
          <w:rFonts w:eastAsia="宋体" w:cs="Arial"/>
          <w:sz w:val="24"/>
          <w:szCs w:val="24"/>
        </w:rPr>
        <w:t>9</w:t>
      </w:r>
      <w:r>
        <w:rPr>
          <w:rFonts w:hint="eastAsia" w:eastAsia="宋体" w:cs="Arial"/>
          <w:sz w:val="24"/>
          <w:szCs w:val="24"/>
          <w:vertAlign w:val="superscript"/>
        </w:rPr>
        <w:t>th</w:t>
      </w:r>
      <w:r>
        <w:rPr>
          <w:rFonts w:eastAsia="宋体" w:cs="Arial"/>
          <w:sz w:val="24"/>
          <w:szCs w:val="24"/>
        </w:rPr>
        <w:t xml:space="preserve"> August, 202</w:t>
      </w:r>
      <w:r>
        <w:rPr>
          <w:rFonts w:hint="eastAsia" w:eastAsia="宋体" w:cs="Arial"/>
          <w:sz w:val="24"/>
          <w:szCs w:val="24"/>
        </w:rPr>
        <w:t>5</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 xml:space="preserve">Discussion on </w:t>
      </w:r>
      <w:r>
        <w:rPr>
          <w:rFonts w:ascii="Arial" w:hAnsi="Arial" w:eastAsia="宋体" w:cs="Arial"/>
          <w:b/>
          <w:bCs/>
          <w:sz w:val="24"/>
          <w:lang w:val="en-US" w:eastAsia="zh-CN"/>
        </w:rPr>
        <w:t>core parts on LP</w:t>
      </w:r>
      <w:r>
        <w:rPr>
          <w:rFonts w:hint="eastAsia" w:ascii="Arial" w:hAnsi="Arial" w:eastAsia="宋体" w:cs="Arial"/>
          <w:b/>
          <w:bCs/>
          <w:sz w:val="24"/>
          <w:lang w:val="en-US" w:eastAsia="zh-CN"/>
        </w:rPr>
        <w:t>-</w:t>
      </w:r>
      <w:r>
        <w:rPr>
          <w:rFonts w:ascii="Arial" w:hAnsi="Arial" w:eastAsia="宋体" w:cs="Arial"/>
          <w:b/>
          <w:bCs/>
          <w:sz w:val="24"/>
          <w:lang w:val="en-US" w:eastAsia="zh-CN"/>
        </w:rPr>
        <w:t>WUS</w:t>
      </w:r>
      <w:r>
        <w:rPr>
          <w:rFonts w:hint="eastAsia" w:ascii="Arial" w:hAnsi="Arial" w:eastAsia="宋体" w:cs="Arial"/>
          <w:b/>
          <w:bCs/>
          <w:sz w:val="24"/>
          <w:lang w:val="en-US" w:eastAsia="zh-CN"/>
        </w:rPr>
        <w:t xml:space="preserve"> </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7.24.5.2</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3"/>
      </w:pPr>
      <w:r>
        <w:t>Intro</w:t>
      </w:r>
      <w:r>
        <w:rPr>
          <w:rStyle w:val="81"/>
        </w:rPr>
        <w:t>ductio</w:t>
      </w:r>
      <w:r>
        <w:t>n</w:t>
      </w:r>
    </w:p>
    <w:p>
      <w:pPr>
        <w:overflowPunct w:val="0"/>
        <w:autoSpaceDE w:val="0"/>
        <w:autoSpaceDN w:val="0"/>
        <w:adjustRightInd w:val="0"/>
        <w:spacing w:before="120" w:beforeLines="50" w:after="120"/>
        <w:textAlignment w:val="baseline"/>
        <w:rPr>
          <w:color w:val="000000"/>
          <w:lang w:val="en-US"/>
        </w:rPr>
      </w:pPr>
      <w:r>
        <w:rPr>
          <w:color w:val="000000"/>
          <w:lang w:val="en-US"/>
        </w:rPr>
        <w:t>In RAN #10</w:t>
      </w:r>
      <w:r>
        <w:rPr>
          <w:rFonts w:hint="eastAsia"/>
          <w:color w:val="000000"/>
          <w:lang w:val="en-US"/>
        </w:rPr>
        <w:t>3</w:t>
      </w:r>
      <w:r>
        <w:rPr>
          <w:color w:val="000000"/>
          <w:lang w:val="en-US"/>
        </w:rPr>
        <w:t xml:space="preserve"> meeting the </w:t>
      </w:r>
      <w:r>
        <w:rPr>
          <w:rFonts w:hint="eastAsia"/>
          <w:color w:val="000000"/>
          <w:lang w:val="en-US"/>
        </w:rPr>
        <w:t>latest</w:t>
      </w:r>
      <w:r>
        <w:rPr>
          <w:color w:val="000000"/>
          <w:lang w:val="en-US"/>
        </w:rPr>
        <w:t xml:space="preserve"> WID has been agreed [1] on Low-power wake-up signal and it is the first meeting for RAN4 to discuss the core part in this meeting. The WID can be seen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1" w:type="dxa"/>
          </w:tcPr>
          <w:p>
            <w:pPr>
              <w:keepNext w:val="0"/>
              <w:keepLines w:val="0"/>
              <w:widowControl/>
              <w:suppressLineNumbers w:val="0"/>
              <w:spacing w:before="0" w:beforeAutospacing="0" w:after="0" w:afterAutospacing="0"/>
              <w:ind w:left="0" w:right="0"/>
              <w:rPr>
                <w:rFonts w:hint="default"/>
                <w:bCs/>
                <w:sz w:val="20"/>
                <w:szCs w:val="20"/>
                <w:lang w:eastAsia="zh-CN"/>
              </w:rPr>
            </w:pPr>
            <w:bookmarkStart w:id="0" w:name="_Hlk153295984"/>
            <w:r>
              <w:rPr>
                <w:rFonts w:hint="eastAsia"/>
                <w:bCs/>
                <w:sz w:val="20"/>
                <w:szCs w:val="20"/>
                <w:lang w:eastAsia="zh-CN"/>
              </w:rPr>
              <w:t>T</w:t>
            </w:r>
            <w:r>
              <w:rPr>
                <w:rFonts w:hint="default"/>
                <w:bCs/>
                <w:sz w:val="20"/>
                <w:szCs w:val="20"/>
                <w:lang w:eastAsia="zh-CN"/>
              </w:rPr>
              <w:t>he objectives of the work item are the following:</w:t>
            </w:r>
          </w:p>
          <w:p>
            <w:pPr>
              <w:keepNext w:val="0"/>
              <w:keepLines w:val="0"/>
              <w:widowControl/>
              <w:numPr>
                <w:ilvl w:val="0"/>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To specify an LP-WUS design commonly applicable to both IDLE/INACTIVE and CONNECTED modes (RAN1, RAN4)</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 xml:space="preserve">Specify OOK (OOK-1 and/or OOK-4) based LP-WUS with </w:t>
            </w:r>
            <w:r>
              <w:rPr>
                <w:rFonts w:hint="default"/>
                <w:sz w:val="20"/>
                <w:szCs w:val="20"/>
              </w:rPr>
              <w:t>overlaid OFDM sequence(s) over OOK symbol</w:t>
            </w:r>
          </w:p>
          <w:p>
            <w:pPr>
              <w:keepNext w:val="0"/>
              <w:keepLines w:val="0"/>
              <w:widowControl/>
              <w:numPr>
                <w:ilvl w:val="2"/>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color w:val="000000"/>
                <w:sz w:val="20"/>
                <w:szCs w:val="20"/>
                <w:lang w:val="en-US" w:eastAsia="zh-CN"/>
              </w:rPr>
            </w:pPr>
            <w:r>
              <w:rPr>
                <w:rFonts w:hint="eastAsia"/>
                <w:bCs/>
                <w:color w:val="000000"/>
                <w:sz w:val="20"/>
                <w:szCs w:val="20"/>
                <w:lang w:val="en-US" w:eastAsia="zh-CN"/>
              </w:rPr>
              <w:t>T</w:t>
            </w:r>
            <w:r>
              <w:rPr>
                <w:rFonts w:hint="default"/>
                <w:bCs/>
                <w:color w:val="000000"/>
                <w:sz w:val="20"/>
                <w:szCs w:val="20"/>
                <w:lang w:val="en-US" w:eastAsia="zh-CN"/>
              </w:rPr>
              <w:t xml:space="preserve">he LP-WUS design shall ensure that for IDLE/INACTIVE operation, the same information is delivered irrespective of LP-WUR type. </w:t>
            </w:r>
            <w:r>
              <w:rPr>
                <w:rFonts w:hint="eastAsia"/>
                <w:bCs/>
                <w:color w:val="000000"/>
                <w:sz w:val="20"/>
                <w:szCs w:val="20"/>
                <w:lang w:val="en-US" w:eastAsia="zh-CN"/>
              </w:rPr>
              <w:t>The OFDM sequence c</w:t>
            </w:r>
            <w:r>
              <w:rPr>
                <w:rFonts w:hint="default"/>
                <w:bCs/>
                <w:color w:val="000000"/>
                <w:sz w:val="20"/>
                <w:szCs w:val="20"/>
                <w:lang w:val="en-US" w:eastAsia="zh-CN"/>
              </w:rPr>
              <w:t>a</w:t>
            </w:r>
            <w:r>
              <w:rPr>
                <w:rFonts w:hint="eastAsia"/>
                <w:bCs/>
                <w:color w:val="000000"/>
                <w:sz w:val="20"/>
                <w:szCs w:val="20"/>
                <w:lang w:val="en-US" w:eastAsia="zh-CN"/>
              </w:rPr>
              <w:t>n carry information.</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At least duty-cycled monitoring of LP-WUS is supported</w:t>
            </w:r>
          </w:p>
          <w:p>
            <w:pPr>
              <w:keepNext w:val="0"/>
              <w:keepLines w:val="0"/>
              <w:widowControl/>
              <w:numPr>
                <w:ilvl w:val="0"/>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highlight w:val="yellow"/>
                <w:lang w:val="en-US" w:eastAsia="zh-CN" w:bidi="ar"/>
              </w:rPr>
              <w:t>For IDLE/INACTIVE modes</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eastAsia="zh-CN" w:bidi="ar"/>
              </w:rPr>
            </w:pPr>
            <w:r>
              <w:rPr>
                <w:rFonts w:hint="default"/>
                <w:bCs/>
                <w:sz w:val="20"/>
                <w:szCs w:val="20"/>
                <w:lang w:val="en-US" w:eastAsia="zh-CN" w:bidi="ar"/>
              </w:rPr>
              <w:t xml:space="preserve">Specify procedure and configuration of LP-WUS indicating </w:t>
            </w:r>
            <w:r>
              <w:rPr>
                <w:rFonts w:hint="default"/>
                <w:bCs/>
                <w:sz w:val="20"/>
                <w:szCs w:val="20"/>
                <w:highlight w:val="yellow"/>
                <w:lang w:val="en-US" w:eastAsia="zh-CN" w:bidi="ar"/>
              </w:rPr>
              <w:t>paging monitoring triggered by LP-WUS</w:t>
            </w:r>
            <w:r>
              <w:rPr>
                <w:rFonts w:hint="default"/>
                <w:bCs/>
                <w:sz w:val="20"/>
                <w:szCs w:val="20"/>
                <w:lang w:val="en-US" w:eastAsia="zh-CN" w:bidi="ar"/>
              </w:rPr>
              <w:t xml:space="preserve">, including at least configuration, sub-grouping and entry/exit condition for LP-WUS monitoring </w:t>
            </w:r>
            <w:r>
              <w:rPr>
                <w:rFonts w:hint="eastAsia"/>
                <w:bCs/>
                <w:sz w:val="20"/>
                <w:szCs w:val="20"/>
                <w:lang w:val="en-US" w:eastAsia="zh-CN" w:bidi="ar"/>
              </w:rPr>
              <w:t xml:space="preserve">(RAN2, </w:t>
            </w:r>
            <w:r>
              <w:rPr>
                <w:rFonts w:hint="default"/>
                <w:bCs/>
                <w:sz w:val="20"/>
                <w:szCs w:val="20"/>
                <w:lang w:val="en-US" w:eastAsia="zh-CN" w:bidi="ar"/>
              </w:rPr>
              <w:t>R</w:t>
            </w:r>
            <w:r>
              <w:rPr>
                <w:rFonts w:hint="eastAsia"/>
                <w:bCs/>
                <w:sz w:val="20"/>
                <w:szCs w:val="20"/>
                <w:lang w:val="en-US" w:eastAsia="zh-CN" w:bidi="ar"/>
              </w:rPr>
              <w:t>AN1,</w:t>
            </w:r>
            <w:r>
              <w:rPr>
                <w:rFonts w:hint="default"/>
                <w:bCs/>
                <w:sz w:val="20"/>
                <w:szCs w:val="20"/>
                <w:lang w:val="en-US" w:eastAsia="zh-CN" w:bidi="ar"/>
              </w:rPr>
              <w:t xml:space="preserve"> </w:t>
            </w:r>
            <w:r>
              <w:rPr>
                <w:rFonts w:hint="eastAsia"/>
                <w:bCs/>
                <w:sz w:val="20"/>
                <w:szCs w:val="20"/>
                <w:lang w:val="en-US" w:eastAsia="zh-CN" w:bidi="ar"/>
              </w:rPr>
              <w:t>RAN3, RAN4)</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highlight w:val="yellow"/>
                <w:lang w:val="en-US" w:eastAsia="zh-CN" w:bidi="ar"/>
              </w:rPr>
              <w:t>Specify LP-SS</w:t>
            </w:r>
            <w:r>
              <w:rPr>
                <w:rFonts w:hint="default"/>
                <w:bCs/>
                <w:sz w:val="20"/>
                <w:szCs w:val="20"/>
                <w:lang w:val="en-US" w:eastAsia="zh-CN" w:bidi="ar"/>
              </w:rPr>
              <w:t xml:space="preserve"> with periodicity with Yms for LP-WUR, for synchronization and/or RRM for serving cell. (RAN1, RAN4)</w:t>
            </w:r>
          </w:p>
          <w:p>
            <w:pPr>
              <w:keepNext w:val="0"/>
              <w:keepLines w:val="0"/>
              <w:widowControl/>
              <w:numPr>
                <w:ilvl w:val="2"/>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LP-SS is based on OOK-1 and/or OOK-4 waveform with or without overlaid OFDM sequences. Further down selection between with and without overlaid OFDM sequences is to be done within WI.</w:t>
            </w:r>
          </w:p>
          <w:p>
            <w:pPr>
              <w:keepNext w:val="0"/>
              <w:keepLines w:val="0"/>
              <w:widowControl/>
              <w:numPr>
                <w:ilvl w:val="2"/>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color w:val="000000"/>
                <w:sz w:val="20"/>
                <w:szCs w:val="20"/>
                <w:lang w:val="en-US" w:eastAsia="zh-CN" w:bidi="ar"/>
              </w:rPr>
            </w:pPr>
            <w:r>
              <w:rPr>
                <w:rFonts w:hint="default"/>
                <w:bCs/>
                <w:color w:val="000000"/>
                <w:sz w:val="20"/>
                <w:szCs w:val="20"/>
                <w:lang w:val="en-US" w:eastAsia="zh-CN" w:bidi="ar"/>
              </w:rPr>
              <w:t>Note: For LP-WUR that can receive existing PSS/SSS, existing PSS/SSS can be used for synchronization and RRM instead of LP-SS.</w:t>
            </w:r>
          </w:p>
          <w:p>
            <w:pPr>
              <w:keepNext w:val="0"/>
              <w:keepLines w:val="0"/>
              <w:widowControl/>
              <w:numPr>
                <w:ilvl w:val="2"/>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eastAsia="zh-CN" w:bidi="ar"/>
              </w:rPr>
            </w:pPr>
            <w:r>
              <w:rPr>
                <w:rFonts w:hint="default"/>
                <w:bCs/>
                <w:sz w:val="20"/>
                <w:szCs w:val="20"/>
                <w:highlight w:val="yellow"/>
                <w:lang w:val="en-US" w:eastAsia="zh-CN" w:bidi="ar"/>
              </w:rPr>
              <w:t>Y will be decided within WI. 320ms is the start point.</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Specify further RRM relaxation of UE MR for both serving and neighbor cell measurements, and UE serving cell RRM measurement offloaded from MR to LP-WUR, including the necessary conditions (RAN4, RAN2)</w:t>
            </w:r>
          </w:p>
          <w:p>
            <w:pPr>
              <w:keepNext w:val="0"/>
              <w:keepLines w:val="0"/>
              <w:widowControl/>
              <w:numPr>
                <w:ilvl w:val="0"/>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For CONNECTED mode, specify procedures to allow UE MR PDCCH monitoring triggered by LP-WUS including activation and deactivation procedure of LP-WUS monitoring (RAN2, RAN1)</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rPr>
              <w:t>Check in RAN#105 for potential TU adjustment in RAN2</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Note: In CONNECTED mode, UE MR ultra-deep sleep is not considered, and UE RRM/RLM/BFD/CSI measurements are performed by MR</w:t>
            </w:r>
          </w:p>
          <w:p>
            <w:pPr>
              <w:keepNext w:val="0"/>
              <w:keepLines w:val="0"/>
              <w:widowControl/>
              <w:numPr>
                <w:ilvl w:val="0"/>
                <w:numId w:val="5"/>
              </w:numPr>
              <w:suppressLineNumbers w:val="0"/>
              <w:tabs>
                <w:tab w:val="left" w:pos="1440"/>
              </w:tabs>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Note: The target coverage of LP-WUS and LP-SS shall be the coverage of PUSCH for message3.</w:t>
            </w:r>
          </w:p>
          <w:p>
            <w:pPr>
              <w:keepNext w:val="0"/>
              <w:keepLines w:val="0"/>
              <w:widowControl/>
              <w:numPr>
                <w:ilvl w:val="0"/>
                <w:numId w:val="5"/>
              </w:numPr>
              <w:suppressLineNumbers w:val="0"/>
              <w:tabs>
                <w:tab w:val="left" w:pos="1440"/>
              </w:tabs>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rPr>
              <w:t>Note: The optimization of LP-WUS signal design for idle/inactive mode is prioritized over the optimization for connected mode.</w:t>
            </w:r>
          </w:p>
          <w:bookmarkEnd w:id="0"/>
          <w:p>
            <w:pPr>
              <w:keepNext w:val="0"/>
              <w:keepLines w:val="0"/>
              <w:widowControl/>
              <w:numPr>
                <w:ilvl w:val="0"/>
                <w:numId w:val="6"/>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eastAsia"/>
                <w:bCs/>
                <w:sz w:val="20"/>
                <w:szCs w:val="20"/>
                <w:highlight w:val="yellow"/>
                <w:lang w:val="en-US"/>
              </w:rPr>
              <w:t>Specify the necessary RAN4 core requirement(s) to support the feature</w:t>
            </w:r>
            <w:r>
              <w:rPr>
                <w:rFonts w:hint="eastAsia"/>
                <w:bCs/>
                <w:sz w:val="20"/>
                <w:szCs w:val="20"/>
                <w:lang w:val="en-US"/>
              </w:rPr>
              <w:t xml:space="preserve"> (RAN4).</w:t>
            </w:r>
          </w:p>
          <w:p>
            <w:pPr>
              <w:keepNext w:val="0"/>
              <w:keepLines w:val="0"/>
              <w:widowControl/>
              <w:numPr>
                <w:ilvl w:val="1"/>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lang w:val="en-US"/>
              </w:rPr>
            </w:pPr>
            <w:bookmarkStart w:id="1" w:name="OLE_LINK1"/>
            <w:r>
              <w:rPr>
                <w:rFonts w:hint="default"/>
                <w:bCs/>
                <w:sz w:val="20"/>
                <w:szCs w:val="20"/>
                <w:lang w:val="en-US"/>
              </w:rPr>
              <w:t>Specify UE low-power wake-up receiver requirements</w:t>
            </w:r>
            <w:r>
              <w:rPr>
                <w:rFonts w:hint="eastAsia"/>
                <w:bCs/>
                <w:sz w:val="20"/>
                <w:szCs w:val="20"/>
                <w:lang w:val="en-US" w:eastAsia="zh-CN"/>
              </w:rPr>
              <w:t>,</w:t>
            </w:r>
            <w:r>
              <w:rPr>
                <w:rFonts w:hint="default"/>
                <w:bCs/>
                <w:sz w:val="20"/>
                <w:szCs w:val="20"/>
                <w:lang w:val="en-US" w:eastAsia="zh-CN"/>
              </w:rPr>
              <w:t xml:space="preserve"> at least </w:t>
            </w:r>
            <w:r>
              <w:rPr>
                <w:rFonts w:hint="default"/>
                <w:bCs/>
                <w:sz w:val="20"/>
                <w:szCs w:val="20"/>
                <w:lang w:val="en-US"/>
              </w:rPr>
              <w:t xml:space="preserve">REFSENS, ACS and ASCS requirements with consideration of possible new methodology to assess the </w:t>
            </w:r>
            <w:bookmarkEnd w:id="1"/>
            <w:r>
              <w:rPr>
                <w:rFonts w:hint="default"/>
                <w:bCs/>
                <w:sz w:val="20"/>
                <w:szCs w:val="20"/>
                <w:lang w:val="en-US"/>
              </w:rPr>
              <w:t>low-power wake-up receiver performance</w:t>
            </w:r>
          </w:p>
          <w:p>
            <w:pPr>
              <w:keepNext w:val="0"/>
              <w:keepLines w:val="0"/>
              <w:widowControl/>
              <w:numPr>
                <w:ilvl w:val="2"/>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lang w:val="en-US"/>
              </w:rPr>
            </w:pPr>
            <w:r>
              <w:rPr>
                <w:rFonts w:hint="default"/>
                <w:bCs/>
                <w:sz w:val="20"/>
                <w:szCs w:val="20"/>
                <w:lang w:val="en-US"/>
              </w:rPr>
              <w:t>Define guard RBs for ACS and ASCS cases</w:t>
            </w:r>
          </w:p>
          <w:p>
            <w:pPr>
              <w:keepNext w:val="0"/>
              <w:keepLines w:val="0"/>
              <w:widowControl/>
              <w:numPr>
                <w:ilvl w:val="2"/>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lang w:val="en-US"/>
              </w:rPr>
            </w:pPr>
            <w:r>
              <w:rPr>
                <w:rFonts w:hint="default"/>
                <w:bCs/>
                <w:sz w:val="20"/>
                <w:szCs w:val="20"/>
                <w:lang w:val="en-US"/>
              </w:rPr>
              <w:t>Study testability of above requirements</w:t>
            </w:r>
          </w:p>
          <w:p>
            <w:pPr>
              <w:keepNext w:val="0"/>
              <w:keepLines w:val="0"/>
              <w:widowControl/>
              <w:numPr>
                <w:ilvl w:val="2"/>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lang w:val="en-US"/>
              </w:rPr>
            </w:pPr>
            <w:r>
              <w:rPr>
                <w:rFonts w:hint="default"/>
                <w:bCs/>
                <w:sz w:val="20"/>
                <w:szCs w:val="20"/>
                <w:lang w:val="en-US"/>
              </w:rPr>
              <w:t xml:space="preserve">Consider impacts of different architecture and impairments, </w:t>
            </w:r>
            <w:r>
              <w:rPr>
                <w:rFonts w:hint="eastAsia"/>
                <w:sz w:val="20"/>
                <w:szCs w:val="20"/>
              </w:rPr>
              <w:t>and set requirements that enable all types of reasonable implementation</w:t>
            </w:r>
            <w:r>
              <w:rPr>
                <w:rFonts w:hint="default"/>
                <w:bCs/>
                <w:sz w:val="20"/>
                <w:szCs w:val="20"/>
                <w:lang w:val="en-US"/>
              </w:rPr>
              <w:t xml:space="preserve"> </w:t>
            </w:r>
          </w:p>
          <w:p>
            <w:pPr>
              <w:keepNext w:val="0"/>
              <w:keepLines w:val="0"/>
              <w:widowControl/>
              <w:numPr>
                <w:ilvl w:val="1"/>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lang w:val="en-US"/>
              </w:rPr>
            </w:pPr>
            <w:r>
              <w:rPr>
                <w:rFonts w:hint="default"/>
                <w:bCs/>
                <w:sz w:val="20"/>
                <w:szCs w:val="20"/>
              </w:rPr>
              <w:t>Study and</w:t>
            </w:r>
            <w:r>
              <w:rPr>
                <w:rFonts w:hint="default"/>
                <w:sz w:val="20"/>
                <w:szCs w:val="20"/>
              </w:rPr>
              <w:t xml:space="preserve"> if necessary</w:t>
            </w:r>
            <w:r>
              <w:rPr>
                <w:rFonts w:hint="default"/>
                <w:bCs/>
                <w:sz w:val="20"/>
                <w:szCs w:val="20"/>
              </w:rPr>
              <w:t xml:space="preserve"> specify</w:t>
            </w:r>
            <w:r>
              <w:rPr>
                <w:rFonts w:hint="default"/>
                <w:sz w:val="20"/>
                <w:szCs w:val="20"/>
              </w:rPr>
              <w:t xml:space="preserve"> or support by declaration</w:t>
            </w:r>
            <w:r>
              <w:rPr>
                <w:rFonts w:hint="default"/>
                <w:bCs/>
                <w:sz w:val="20"/>
                <w:szCs w:val="20"/>
              </w:rPr>
              <w:t xml:space="preserve">, </w:t>
            </w:r>
            <w:r>
              <w:rPr>
                <w:rFonts w:hint="default"/>
                <w:sz w:val="20"/>
                <w:szCs w:val="20"/>
              </w:rPr>
              <w:t>the corresponding</w:t>
            </w:r>
            <w:r>
              <w:rPr>
                <w:rFonts w:hint="default"/>
                <w:bCs/>
                <w:sz w:val="20"/>
                <w:szCs w:val="20"/>
              </w:rPr>
              <w:t xml:space="preserve"> BS requirements, e.g., dynamic range for LP-WUS/LP-SS</w:t>
            </w:r>
            <w:r>
              <w:rPr>
                <w:rFonts w:hint="default"/>
                <w:sz w:val="20"/>
                <w:szCs w:val="20"/>
              </w:rPr>
              <w:t xml:space="preserve">. </w:t>
            </w:r>
          </w:p>
          <w:p>
            <w:pPr>
              <w:keepNext w:val="0"/>
              <w:keepLines w:val="0"/>
              <w:widowControl/>
              <w:numPr>
                <w:ilvl w:val="2"/>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lang w:val="en-US"/>
              </w:rPr>
            </w:pPr>
            <w:r>
              <w:rPr>
                <w:rFonts w:hint="default"/>
                <w:sz w:val="20"/>
                <w:szCs w:val="20"/>
              </w:rPr>
              <w:t>C</w:t>
            </w:r>
            <w:r>
              <w:rPr>
                <w:rFonts w:hint="default"/>
                <w:bCs/>
                <w:sz w:val="20"/>
                <w:szCs w:val="20"/>
              </w:rPr>
              <w:t>urrent NR BS requirements is baseline</w:t>
            </w:r>
          </w:p>
          <w:p>
            <w:pPr>
              <w:keepNext w:val="0"/>
              <w:keepLines w:val="0"/>
              <w:widowControl/>
              <w:numPr>
                <w:ilvl w:val="1"/>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highlight w:val="yellow"/>
              </w:rPr>
            </w:pPr>
            <w:r>
              <w:rPr>
                <w:rFonts w:hint="default"/>
                <w:bCs/>
                <w:sz w:val="20"/>
                <w:szCs w:val="20"/>
                <w:highlight w:val="yellow"/>
              </w:rPr>
              <w:t>Specify necessary RRM requirements</w:t>
            </w:r>
          </w:p>
        </w:tc>
      </w:tr>
    </w:tbl>
    <w:p>
      <w:pPr>
        <w:overflowPunct w:val="0"/>
        <w:autoSpaceDE w:val="0"/>
        <w:autoSpaceDN w:val="0"/>
        <w:adjustRightInd w:val="0"/>
        <w:spacing w:before="120" w:beforeLines="50" w:after="240"/>
        <w:textAlignment w:val="baseline"/>
        <w:rPr>
          <w:rFonts w:eastAsia="宋体"/>
          <w:lang w:val="en-US" w:eastAsia="zh-CN"/>
        </w:rPr>
      </w:pPr>
      <w:r>
        <w:rPr>
          <w:rFonts w:hint="eastAsia" w:eastAsia="宋体"/>
          <w:lang w:val="en-US" w:eastAsia="zh-CN"/>
        </w:rPr>
        <w:t>In this paper we will continue to discuss the related issues and provide our views.</w:t>
      </w:r>
    </w:p>
    <w:p>
      <w:pPr>
        <w:pStyle w:val="3"/>
        <w:spacing w:before="180" w:after="120"/>
        <w:ind w:left="431" w:hanging="431"/>
      </w:pPr>
      <w:r>
        <w:t>Discussion</w:t>
      </w:r>
    </w:p>
    <w:p>
      <w:pPr>
        <w:pStyle w:val="4"/>
        <w:rPr>
          <w:rFonts w:hint="default"/>
          <w:lang w:val="en-US" w:eastAsia="zh-CN"/>
        </w:rPr>
      </w:pPr>
      <w:r>
        <w:rPr>
          <w:rFonts w:hint="eastAsia"/>
          <w:lang w:val="en-US" w:eastAsia="zh-CN"/>
        </w:rPr>
        <w:t>LP-WUR status at legacy case</w:t>
      </w:r>
    </w:p>
    <w:p>
      <w:pPr>
        <w:rPr>
          <w:rFonts w:hint="eastAsia"/>
          <w:lang w:val="en-US" w:eastAsia="zh-CN"/>
        </w:rPr>
      </w:pPr>
      <w:r>
        <w:rPr>
          <w:rFonts w:hint="eastAsia"/>
          <w:lang w:val="en-US" w:eastAsia="zh-CN"/>
        </w:rPr>
        <w:t>In previous meetings, we do not discuss the UE behaviour at legacy case (Case#5), the following way forward can be seen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76"/>
              <w:keepNext w:val="0"/>
              <w:keepLines w:val="0"/>
              <w:widowControl/>
              <w:numPr>
                <w:ilvl w:val="0"/>
                <w:numId w:val="7"/>
              </w:numPr>
              <w:suppressLineNumbers w:val="0"/>
              <w:overflowPunct/>
              <w:autoSpaceDE/>
              <w:autoSpaceDN/>
              <w:adjustRightInd/>
              <w:spacing w:before="0" w:beforeAutospacing="0" w:after="120" w:afterAutospacing="0"/>
              <w:ind w:left="720"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 xml:space="preserve">Proposals </w:t>
            </w:r>
          </w:p>
          <w:p>
            <w:pPr>
              <w:pStyle w:val="76"/>
              <w:keepNext w:val="0"/>
              <w:keepLines w:val="0"/>
              <w:widowControl/>
              <w:numPr>
                <w:ilvl w:val="1"/>
                <w:numId w:val="7"/>
              </w:numPr>
              <w:suppressLineNumbers w:val="0"/>
              <w:overflowPunct/>
              <w:autoSpaceDE/>
              <w:autoSpaceDN/>
              <w:adjustRightInd/>
              <w:spacing w:before="0" w:beforeAutospacing="0" w:after="120" w:afterAutospacing="0"/>
              <w:ind w:left="1440"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 xml:space="preserve">P1: </w:t>
            </w:r>
            <w:r>
              <w:rPr>
                <w:rFonts w:hint="eastAsia" w:eastAsia="宋体"/>
                <w:color w:val="000000" w:themeColor="text1"/>
                <w:szCs w:val="24"/>
                <w:lang w:eastAsia="zh-CN"/>
                <w14:textFill>
                  <w14:solidFill>
                    <w14:schemeClr w14:val="tx1"/>
                  </w14:solidFill>
                </w14:textFill>
              </w:rPr>
              <w:t>LP-WUR is ON for serving cell measurement, but when and how to turn on LR for serving cell measurement is up to UE implementation.</w:t>
            </w:r>
            <w:r>
              <w:rPr>
                <w:rFonts w:hint="default" w:eastAsia="宋体"/>
                <w:color w:val="000000" w:themeColor="text1"/>
                <w:szCs w:val="24"/>
                <w:lang w:eastAsia="zh-CN"/>
                <w14:textFill>
                  <w14:solidFill>
                    <w14:schemeClr w14:val="tx1"/>
                  </w14:solidFill>
                </w14:textFill>
              </w:rPr>
              <w:t xml:space="preserve"> </w:t>
            </w:r>
          </w:p>
          <w:p>
            <w:pPr>
              <w:pStyle w:val="76"/>
              <w:keepNext w:val="0"/>
              <w:keepLines w:val="0"/>
              <w:widowControl/>
              <w:numPr>
                <w:ilvl w:val="2"/>
                <w:numId w:val="7"/>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 xml:space="preserve">P1-1: No LP-WUR measurement and evaluation requirement is applicable when LR is “on” at the legacy state; </w:t>
            </w:r>
          </w:p>
          <w:p>
            <w:pPr>
              <w:pStyle w:val="76"/>
              <w:keepNext w:val="0"/>
              <w:keepLines w:val="0"/>
              <w:widowControl/>
              <w:numPr>
                <w:ilvl w:val="3"/>
                <w:numId w:val="7"/>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Note: in detail, no requirement is applicable on LR for the following cases: from legacy case to LP-WUR monitoring, from legacy case to RRM measurement fully offloading (case 1), and from legacy case to RRM measurement relaxation (case 3).</w:t>
            </w:r>
          </w:p>
          <w:p>
            <w:pPr>
              <w:pStyle w:val="76"/>
              <w:keepNext w:val="0"/>
              <w:keepLines w:val="0"/>
              <w:widowControl/>
              <w:numPr>
                <w:ilvl w:val="1"/>
                <w:numId w:val="7"/>
              </w:numPr>
              <w:suppressLineNumbers w:val="0"/>
              <w:overflowPunct/>
              <w:autoSpaceDE/>
              <w:autoSpaceDN/>
              <w:adjustRightInd/>
              <w:spacing w:before="0" w:beforeAutospacing="0" w:after="120" w:afterAutospacing="0"/>
              <w:ind w:left="1440"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 xml:space="preserve">P2: </w:t>
            </w:r>
            <w:r>
              <w:rPr>
                <w:rFonts w:hint="eastAsia" w:eastAsia="宋体"/>
                <w:color w:val="000000" w:themeColor="text1"/>
                <w:szCs w:val="24"/>
                <w:lang w:eastAsia="zh-CN"/>
                <w14:textFill>
                  <w14:solidFill>
                    <w14:schemeClr w14:val="tx1"/>
                  </w14:solidFill>
                </w14:textFill>
              </w:rPr>
              <w:t>After MR measurement result is higher than MR threshold, UE turn on its LR. The requirement for LR measurement at legacy case should also be defined.</w:t>
            </w:r>
            <w:r>
              <w:rPr>
                <w:rFonts w:hint="default" w:eastAsia="宋体"/>
                <w:color w:val="000000" w:themeColor="text1"/>
                <w:szCs w:val="24"/>
                <w:lang w:eastAsia="zh-CN"/>
                <w14:textFill>
                  <w14:solidFill>
                    <w14:schemeClr w14:val="tx1"/>
                  </w14:solidFill>
                </w14:textFill>
              </w:rPr>
              <w:t xml:space="preserve"> </w:t>
            </w:r>
          </w:p>
          <w:p>
            <w:pPr>
              <w:pStyle w:val="76"/>
              <w:keepNext w:val="0"/>
              <w:keepLines w:val="0"/>
              <w:widowControl/>
              <w:numPr>
                <w:ilvl w:val="1"/>
                <w:numId w:val="7"/>
              </w:numPr>
              <w:suppressLineNumbers w:val="0"/>
              <w:overflowPunct/>
              <w:autoSpaceDE/>
              <w:autoSpaceDN/>
              <w:adjustRightInd/>
              <w:spacing w:before="0" w:beforeAutospacing="0" w:after="120" w:afterAutospacing="0"/>
              <w:ind w:left="1440" w:right="0" w:firstLineChars="0"/>
              <w:textAlignment w:val="auto"/>
              <w:rPr>
                <w:rFonts w:hint="default"/>
                <w:vertAlign w:val="baseline"/>
                <w:lang w:val="en-US" w:eastAsia="zh-CN"/>
              </w:rPr>
            </w:pPr>
            <w:r>
              <w:rPr>
                <w:rFonts w:hint="default" w:eastAsia="宋体"/>
                <w:color w:val="000000" w:themeColor="text1"/>
                <w:szCs w:val="24"/>
                <w:lang w:eastAsia="zh-CN"/>
                <w14:textFill>
                  <w14:solidFill>
                    <w14:schemeClr w14:val="tx1"/>
                  </w14:solidFill>
                </w14:textFill>
              </w:rPr>
              <w:t xml:space="preserve">P3: </w:t>
            </w:r>
            <w:bookmarkStart w:id="2" w:name="_Toc189844360"/>
            <w:r>
              <w:rPr>
                <w:rFonts w:hint="default" w:eastAsia="宋体"/>
                <w:color w:val="000000" w:themeColor="text1"/>
                <w:szCs w:val="24"/>
                <w:lang w:eastAsia="zh-CN"/>
                <w14:textFill>
                  <w14:solidFill>
                    <w14:schemeClr w14:val="tx1"/>
                  </w14:solidFill>
                </w14:textFill>
              </w:rPr>
              <w:t>LP-WUR status outside of the LP-WUS monitoring does not have impact to legacy procedures</w:t>
            </w:r>
            <w:bookmarkEnd w:id="2"/>
            <w:r>
              <w:rPr>
                <w:rFonts w:hint="default" w:eastAsia="宋体"/>
                <w:color w:val="000000" w:themeColor="text1"/>
                <w:szCs w:val="24"/>
                <w:lang w:eastAsia="zh-CN"/>
                <w14:textFill>
                  <w14:solidFill>
                    <w14:schemeClr w14:val="tx1"/>
                  </w14:solidFill>
                </w14:textFill>
              </w:rPr>
              <w:t xml:space="preserve"> </w:t>
            </w:r>
          </w:p>
        </w:tc>
      </w:tr>
    </w:tbl>
    <w:p>
      <w:pPr>
        <w:pStyle w:val="2"/>
        <w:keepNext w:val="0"/>
        <w:keepLines w:val="0"/>
        <w:pageBreakBefore w:val="0"/>
        <w:widowControl/>
        <w:kinsoku/>
        <w:wordWrap/>
        <w:overflowPunct/>
        <w:topLinePunct w:val="0"/>
        <w:autoSpaceDE/>
        <w:autoSpaceDN/>
        <w:bidi w:val="0"/>
        <w:adjustRightInd/>
        <w:snapToGrid/>
        <w:spacing w:before="0" w:beforeLines="50"/>
        <w:textAlignment w:val="auto"/>
        <w:rPr>
          <w:rFonts w:hint="eastAsia"/>
          <w:lang w:val="en-US" w:eastAsia="zh-CN"/>
        </w:rPr>
      </w:pPr>
      <w:r>
        <w:rPr>
          <w:rFonts w:hint="eastAsia"/>
          <w:lang w:val="en-US" w:eastAsia="zh-CN"/>
        </w:rPr>
        <w:t>There is a common understanding that the partially offloading and fully offloading measurement will be performed when LR is ON. LR only performs the serving cell measurement. Regarding this issue, we would like to split two parts:</w:t>
      </w:r>
    </w:p>
    <w:p>
      <w:pPr>
        <w:pStyle w:val="2"/>
        <w:keepNext w:val="0"/>
        <w:keepLines w:val="0"/>
        <w:pageBreakBefore w:val="0"/>
        <w:widowControl/>
        <w:numPr>
          <w:ilvl w:val="0"/>
          <w:numId w:val="8"/>
        </w:numPr>
        <w:kinsoku/>
        <w:wordWrap/>
        <w:overflowPunct/>
        <w:topLinePunct w:val="0"/>
        <w:autoSpaceDE/>
        <w:autoSpaceDN/>
        <w:bidi w:val="0"/>
        <w:adjustRightInd/>
        <w:snapToGrid/>
        <w:spacing w:before="0" w:beforeLines="50"/>
        <w:textAlignment w:val="auto"/>
        <w:rPr>
          <w:rFonts w:hint="default"/>
          <w:lang w:val="en-US" w:eastAsia="zh-CN"/>
        </w:rPr>
      </w:pPr>
      <w:r>
        <w:rPr>
          <w:rFonts w:hint="eastAsia"/>
          <w:lang w:val="en-US" w:eastAsia="zh-CN"/>
        </w:rPr>
        <w:t>Whether the LR is ON in legacy case.</w:t>
      </w:r>
    </w:p>
    <w:p>
      <w:pPr>
        <w:pStyle w:val="2"/>
        <w:keepNext w:val="0"/>
        <w:keepLines w:val="0"/>
        <w:pageBreakBefore w:val="0"/>
        <w:widowControl/>
        <w:numPr>
          <w:ilvl w:val="0"/>
          <w:numId w:val="8"/>
        </w:numPr>
        <w:kinsoku/>
        <w:wordWrap/>
        <w:overflowPunct/>
        <w:topLinePunct w:val="0"/>
        <w:autoSpaceDE/>
        <w:autoSpaceDN/>
        <w:bidi w:val="0"/>
        <w:adjustRightInd/>
        <w:snapToGrid/>
        <w:spacing w:before="0" w:beforeLines="50"/>
        <w:textAlignment w:val="auto"/>
        <w:rPr>
          <w:rFonts w:hint="default"/>
          <w:lang w:val="en-US" w:eastAsia="zh-CN"/>
        </w:rPr>
      </w:pPr>
      <w:r>
        <w:rPr>
          <w:rFonts w:hint="eastAsia"/>
          <w:lang w:val="en-US" w:eastAsia="zh-CN"/>
        </w:rPr>
        <w:t>If LR is ON, whether the RRM requirements will be defined.</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textAlignment w:val="auto"/>
        <w:rPr>
          <w:rFonts w:hint="eastAsia"/>
          <w:lang w:val="en-US" w:eastAsia="zh-CN"/>
        </w:rPr>
      </w:pPr>
      <w:r>
        <w:rPr>
          <w:rFonts w:hint="eastAsia"/>
          <w:lang w:val="en-US" w:eastAsia="zh-CN"/>
        </w:rPr>
        <w:t>For the first, we have reached the agreement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Autospacing="0"/>
              <w:ind w:left="0" w:right="0"/>
              <w:rPr>
                <w:rFonts w:hint="default"/>
                <w:i/>
                <w:color w:val="000000" w:themeColor="text1"/>
                <w:sz w:val="20"/>
                <w:szCs w:val="24"/>
                <w:highlight w:val="green"/>
                <w:lang w:eastAsia="zh-CN"/>
                <w14:textFill>
                  <w14:solidFill>
                    <w14:schemeClr w14:val="tx1"/>
                  </w14:solidFill>
                </w14:textFill>
              </w:rPr>
            </w:pPr>
            <w:r>
              <w:rPr>
                <w:rFonts w:hint="default"/>
                <w:i/>
                <w:color w:val="000000" w:themeColor="text1"/>
                <w:sz w:val="20"/>
                <w:szCs w:val="24"/>
                <w:highlight w:val="green"/>
                <w:lang w:eastAsia="zh-CN"/>
                <w14:textFill>
                  <w14:solidFill>
                    <w14:schemeClr w14:val="tx1"/>
                  </w14:solidFill>
                </w14:textFill>
              </w:rPr>
              <w:t>Agreement:</w:t>
            </w:r>
          </w:p>
          <w:p>
            <w:pPr>
              <w:keepNext w:val="0"/>
              <w:keepLines w:val="0"/>
              <w:widowControl/>
              <w:suppressLineNumbers w:val="0"/>
              <w:spacing w:before="0" w:beforeAutospacing="0" w:afterAutospacing="0"/>
              <w:ind w:left="0" w:right="0"/>
              <w:rPr>
                <w:rFonts w:hint="eastAsia"/>
                <w:sz w:val="20"/>
                <w:szCs w:val="20"/>
                <w:vertAlign w:val="baseline"/>
                <w:lang w:val="en-US" w:eastAsia="zh-CN"/>
              </w:rPr>
            </w:pPr>
            <w:r>
              <w:rPr>
                <w:rFonts w:hint="default"/>
                <w:i/>
                <w:color w:val="000000" w:themeColor="text1"/>
                <w:sz w:val="20"/>
                <w:szCs w:val="24"/>
                <w:highlight w:val="green"/>
                <w:lang w:eastAsia="zh-CN"/>
                <w14:textFill>
                  <w14:solidFill>
                    <w14:schemeClr w14:val="tx1"/>
                  </w14:solidFill>
                </w14:textFill>
              </w:rPr>
              <w:t xml:space="preserve">At legacy state, </w:t>
            </w:r>
            <w:r>
              <w:rPr>
                <w:rFonts w:hint="eastAsia"/>
                <w:i/>
                <w:color w:val="000000" w:themeColor="text1"/>
                <w:sz w:val="20"/>
                <w:szCs w:val="24"/>
                <w:highlight w:val="green"/>
                <w:lang w:eastAsia="zh-CN"/>
                <w14:textFill>
                  <w14:solidFill>
                    <w14:schemeClr w14:val="tx1"/>
                  </w14:solidFill>
                </w14:textFill>
              </w:rPr>
              <w:t xml:space="preserve"> when and how to turn on LR for serving cell measurement is up to UE implementation</w:t>
            </w:r>
            <w:r>
              <w:rPr>
                <w:rFonts w:hint="default"/>
                <w:i/>
                <w:color w:val="000000" w:themeColor="text1"/>
                <w:sz w:val="20"/>
                <w:szCs w:val="24"/>
                <w:highlight w:val="green"/>
                <w:lang w:eastAsia="zh-CN"/>
                <w14:textFill>
                  <w14:solidFill>
                    <w14:schemeClr w14:val="tx1"/>
                  </w14:solidFill>
                </w14:textFill>
              </w:rPr>
              <w:t xml:space="preserve">. </w:t>
            </w:r>
          </w:p>
        </w:tc>
      </w:tr>
    </w:tbl>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textAlignment w:val="auto"/>
        <w:rPr>
          <w:rFonts w:hint="eastAsia"/>
          <w:lang w:val="en-US" w:eastAsia="zh-CN"/>
        </w:rPr>
      </w:pPr>
      <w:r>
        <w:rPr>
          <w:rFonts w:hint="eastAsia"/>
          <w:lang w:val="en-US" w:eastAsia="zh-CN"/>
        </w:rPr>
        <w:t xml:space="preserve"> For the second point, RAN2 has the agreement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pStyle w:val="92"/>
              <w:keepNext w:val="0"/>
              <w:keepLines w:val="0"/>
              <w:widowControl/>
              <w:numPr>
                <w:ilvl w:val="0"/>
                <w:numId w:val="0"/>
              </w:numPr>
              <w:suppressLineNumbers w:val="0"/>
              <w:spacing w:before="156" w:beforeAutospacing="0" w:after="156" w:afterAutospacing="0"/>
              <w:ind w:right="0"/>
              <w:rPr>
                <w:rFonts w:hint="default"/>
                <w:sz w:val="20"/>
                <w:szCs w:val="20"/>
                <w:vertAlign w:val="baseline"/>
                <w:lang w:val="en-US" w:eastAsia="zh-CN"/>
              </w:rPr>
            </w:pPr>
            <w:r>
              <w:rPr>
                <w:rFonts w:hint="default"/>
                <w:sz w:val="20"/>
                <w:szCs w:val="20"/>
                <w:lang w:eastAsia="zh-CN"/>
              </w:rPr>
              <w:t>NW configure thresholds for both MR and LR measurements, then the entry condition is met when all the measured results are above the configured threshold(s).</w:t>
            </w:r>
          </w:p>
        </w:tc>
      </w:tr>
    </w:tbl>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textAlignment w:val="auto"/>
        <w:rPr>
          <w:rFonts w:hint="eastAsia"/>
          <w:lang w:val="en-US" w:eastAsia="zh-CN"/>
        </w:rPr>
      </w:pPr>
      <w:r>
        <w:rPr>
          <w:rFonts w:hint="eastAsia"/>
          <w:lang w:val="en-US" w:eastAsia="zh-CN"/>
        </w:rPr>
        <w:t>From our perspective, LR only performs serving cell measurement in Case#3 and Case#1. If LR is ON in legacy case, there is no measurement behaviour, only MR performs L3 measurement. Thus, no requirement is applicable when LR is at legacy case. However, RAN2</w:t>
      </w:r>
      <w:r>
        <w:rPr>
          <w:rFonts w:hint="default"/>
          <w:lang w:val="en-US" w:eastAsia="zh-CN"/>
        </w:rPr>
        <w:t>’</w:t>
      </w:r>
      <w:r>
        <w:rPr>
          <w:rFonts w:hint="eastAsia"/>
          <w:lang w:val="en-US" w:eastAsia="zh-CN"/>
        </w:rPr>
        <w:t>s agreement shows that NW configures thresholds for both MR and LR measurement, then the LP-WUS monitoring entry condition is met when all the measured results are above the configured thresholds. It means if LR is ON, then the LR would perform serving cell measurement. We know that the channel condition shall be guaranteed if LR is ON and performs serving cell measurement. However, if LR performs serving cell measurement at legacy case, how to guarantee the channel condition in legacy case and how to ensure the measurement accuracy by LR constitute the main concern, that is, we should not consider this case and do not define any RRM requirements.</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textAlignment w:val="auto"/>
        <w:rPr>
          <w:rFonts w:hint="eastAsia"/>
          <w:b/>
          <w:bCs/>
          <w:lang w:val="en-US" w:eastAsia="zh-CN"/>
        </w:rPr>
      </w:pPr>
      <w:r>
        <w:rPr>
          <w:rFonts w:hint="eastAsia"/>
          <w:b/>
          <w:bCs/>
          <w:lang w:val="en-US" w:eastAsia="zh-CN"/>
        </w:rPr>
        <w:t>Observation 1: The channel condition shall be guaranteed if LR is ON and performs serving cell measurement.</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textAlignment w:val="auto"/>
        <w:rPr>
          <w:rFonts w:hint="default"/>
          <w:b/>
          <w:bCs/>
          <w:lang w:val="en-US" w:eastAsia="zh-CN"/>
        </w:rPr>
      </w:pPr>
      <w:r>
        <w:rPr>
          <w:rFonts w:hint="eastAsia"/>
          <w:b/>
          <w:bCs/>
          <w:lang w:val="en-US" w:eastAsia="zh-CN"/>
        </w:rPr>
        <w:t>Observation 2: If LR performs serving cell measurement at legacy case, how to guarantee the channel condition in legacy case and how to ensure the measurement accuracy by LR constitute the main concern.</w:t>
      </w:r>
    </w:p>
    <w:p>
      <w:pPr>
        <w:rPr>
          <w:rFonts w:hint="eastAsia"/>
          <w:lang w:val="en-US" w:eastAsia="zh-CN"/>
        </w:rPr>
      </w:pPr>
      <w:r>
        <w:rPr>
          <w:rFonts w:hint="eastAsia"/>
          <w:b/>
          <w:bCs/>
          <w:lang w:val="en-US" w:eastAsia="zh-CN"/>
        </w:rPr>
        <w:t>Proposal 1: RAN4 shall not define the RRM requirements if LR is ON at legacy case.</w:t>
      </w:r>
    </w:p>
    <w:p>
      <w:pPr>
        <w:pStyle w:val="4"/>
        <w:rPr>
          <w:rFonts w:eastAsiaTheme="minorEastAsia"/>
          <w:sz w:val="28"/>
          <w:szCs w:val="18"/>
          <w:highlight w:val="none"/>
        </w:rPr>
      </w:pPr>
      <w:r>
        <w:rPr>
          <w:rFonts w:hint="eastAsia" w:eastAsiaTheme="minorEastAsia"/>
          <w:sz w:val="28"/>
          <w:szCs w:val="18"/>
          <w:highlight w:val="none"/>
          <w:lang w:val="en-US" w:eastAsia="zh-CN"/>
        </w:rPr>
        <w:t>Periodicity for LP-WUR RRM requirements</w:t>
      </w:r>
    </w:p>
    <w:p>
      <w:pPr>
        <w:rPr>
          <w:rFonts w:hint="eastAsia"/>
          <w:lang w:val="en-US" w:eastAsia="zh-CN"/>
        </w:rPr>
      </w:pPr>
      <w:r>
        <w:rPr>
          <w:rFonts w:hint="eastAsia"/>
          <w:lang w:val="en-US" w:eastAsia="zh-CN"/>
        </w:rPr>
        <w:t>In previous meetings, RAN4 has already discussed the periodicity for LP-WUR RRM requirements. There are still some detailed issues shall be discussed and the previous agreement as follows:</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keepNext w:val="0"/>
              <w:keepLines w:val="0"/>
              <w:widowControl/>
              <w:suppressLineNumbers w:val="0"/>
              <w:spacing w:before="0" w:beforeAutospacing="0" w:afterAutospacing="0"/>
              <w:ind w:left="0" w:right="0"/>
              <w:rPr>
                <w:rFonts w:hint="default"/>
                <w:bCs/>
                <w:color w:val="000000" w:themeColor="text1"/>
                <w:sz w:val="20"/>
                <w:szCs w:val="20"/>
                <w14:textFill>
                  <w14:solidFill>
                    <w14:schemeClr w14:val="tx1"/>
                  </w14:solidFill>
                </w14:textFill>
              </w:rPr>
            </w:pPr>
            <w:r>
              <w:rPr>
                <w:rFonts w:hint="default"/>
                <w:bCs/>
                <w:color w:val="000000" w:themeColor="text1"/>
                <w:sz w:val="20"/>
                <w:szCs w:val="20"/>
                <w14:textFill>
                  <w14:solidFill>
                    <w14:schemeClr w14:val="tx1"/>
                  </w14:solidFill>
                </w14:textFill>
              </w:rPr>
              <w:t>RAN4 113 agreement:</w:t>
            </w:r>
          </w:p>
          <w:p>
            <w:pPr>
              <w:keepNext w:val="0"/>
              <w:keepLines w:val="0"/>
              <w:widowControl/>
              <w:suppressLineNumbers w:val="0"/>
              <w:snapToGrid w:val="0"/>
              <w:spacing w:before="0" w:beforeAutospacing="0" w:afterAutospacing="0"/>
              <w:ind w:left="284" w:right="0"/>
              <w:rPr>
                <w:rFonts w:hint="default"/>
                <w:iCs/>
                <w:color w:val="000000"/>
                <w:sz w:val="21"/>
                <w:szCs w:val="21"/>
              </w:rPr>
            </w:pPr>
            <w:r>
              <w:rPr>
                <w:rFonts w:hint="default"/>
                <w:iCs/>
                <w:color w:val="000000"/>
                <w:sz w:val="21"/>
                <w:szCs w:val="21"/>
              </w:rPr>
              <w:t>If LP-SS is not configured, periodicity for SSB based LP-WUR measurement delay requirements</w:t>
            </w:r>
          </w:p>
          <w:p>
            <w:pPr>
              <w:pStyle w:val="76"/>
              <w:keepNext w:val="0"/>
              <w:keepLines w:val="0"/>
              <w:widowControl/>
              <w:numPr>
                <w:ilvl w:val="0"/>
                <w:numId w:val="9"/>
              </w:numPr>
              <w:suppressLineNumbers w:val="0"/>
              <w:overflowPunct/>
              <w:autoSpaceDE/>
              <w:autoSpaceDN/>
              <w:adjustRightInd/>
              <w:snapToGrid w:val="0"/>
              <w:spacing w:before="0" w:beforeAutospacing="0" w:after="120" w:afterAutospacing="0"/>
              <w:ind w:left="704" w:right="0" w:firstLineChars="0"/>
              <w:textAlignment w:val="auto"/>
              <w:rPr>
                <w:rFonts w:hint="default"/>
                <w:iCs/>
                <w:color w:val="000000"/>
                <w:szCs w:val="21"/>
                <w:highlight w:val="none"/>
              </w:rPr>
            </w:pPr>
            <w:r>
              <w:rPr>
                <w:rFonts w:hint="default"/>
                <w:iCs/>
                <w:color w:val="000000"/>
                <w:szCs w:val="21"/>
                <w:highlight w:val="none"/>
              </w:rPr>
              <w:t>based on LO periodicity</w:t>
            </w:r>
          </w:p>
          <w:p>
            <w:pPr>
              <w:pStyle w:val="76"/>
              <w:keepNext w:val="0"/>
              <w:keepLines w:val="0"/>
              <w:widowControl/>
              <w:numPr>
                <w:ilvl w:val="1"/>
                <w:numId w:val="9"/>
              </w:numPr>
              <w:suppressLineNumbers w:val="0"/>
              <w:overflowPunct/>
              <w:autoSpaceDE/>
              <w:autoSpaceDN/>
              <w:adjustRightInd/>
              <w:snapToGrid w:val="0"/>
              <w:spacing w:before="0" w:beforeAutospacing="0" w:after="120" w:afterAutospacing="0"/>
              <w:ind w:left="1124" w:right="0" w:firstLineChars="0"/>
              <w:textAlignment w:val="auto"/>
              <w:rPr>
                <w:rFonts w:hint="default"/>
                <w:iCs/>
                <w:color w:val="000000"/>
                <w:szCs w:val="21"/>
                <w:highlight w:val="none"/>
              </w:rPr>
            </w:pPr>
            <w:r>
              <w:rPr>
                <w:rFonts w:hint="eastAsia"/>
                <w:iCs/>
                <w:color w:val="000000"/>
                <w:szCs w:val="21"/>
                <w:highlight w:val="none"/>
              </w:rPr>
              <w:t>F</w:t>
            </w:r>
            <w:r>
              <w:rPr>
                <w:rFonts w:hint="default"/>
                <w:iCs/>
                <w:color w:val="000000"/>
                <w:szCs w:val="21"/>
                <w:highlight w:val="none"/>
              </w:rPr>
              <w:t>FS whether to define an upper bound</w:t>
            </w:r>
          </w:p>
          <w:p>
            <w:pPr>
              <w:pStyle w:val="76"/>
              <w:keepNext w:val="0"/>
              <w:keepLines w:val="0"/>
              <w:widowControl/>
              <w:numPr>
                <w:ilvl w:val="1"/>
                <w:numId w:val="9"/>
              </w:numPr>
              <w:suppressLineNumbers w:val="0"/>
              <w:overflowPunct/>
              <w:autoSpaceDE/>
              <w:autoSpaceDN/>
              <w:adjustRightInd/>
              <w:snapToGrid w:val="0"/>
              <w:spacing w:before="0" w:beforeAutospacing="0" w:after="120" w:afterAutospacing="0"/>
              <w:ind w:left="1124" w:right="0" w:firstLineChars="0"/>
              <w:textAlignment w:val="auto"/>
              <w:rPr>
                <w:rFonts w:hint="default"/>
                <w:iCs/>
                <w:color w:val="000000"/>
                <w:szCs w:val="21"/>
              </w:rPr>
            </w:pPr>
            <w:r>
              <w:rPr>
                <w:rFonts w:hint="default"/>
                <w:iCs/>
                <w:color w:val="000000"/>
                <w:szCs w:val="21"/>
              </w:rPr>
              <w:t>Note: DRX cycle and LO periodicity are the same based on RAN1 agreement.</w:t>
            </w:r>
          </w:p>
          <w:p>
            <w:pPr>
              <w:keepNext w:val="0"/>
              <w:keepLines w:val="0"/>
              <w:widowControl/>
              <w:suppressLineNumbers w:val="0"/>
              <w:snapToGrid w:val="0"/>
              <w:spacing w:before="0" w:beforeAutospacing="0" w:afterAutospacing="0"/>
              <w:ind w:left="284" w:right="0"/>
              <w:rPr>
                <w:rFonts w:hint="default"/>
                <w:iCs/>
                <w:color w:val="000000"/>
                <w:sz w:val="21"/>
                <w:szCs w:val="21"/>
              </w:rPr>
            </w:pPr>
            <w:r>
              <w:rPr>
                <w:rFonts w:hint="default"/>
                <w:iCs/>
                <w:color w:val="000000"/>
                <w:sz w:val="21"/>
                <w:szCs w:val="21"/>
              </w:rPr>
              <w:t>When LP-SS is configured, apply the same agreement as for when LP-SS is not configured</w:t>
            </w:r>
          </w:p>
          <w:p>
            <w:pPr>
              <w:pStyle w:val="76"/>
              <w:keepNext w:val="0"/>
              <w:keepLines w:val="0"/>
              <w:widowControl/>
              <w:numPr>
                <w:ilvl w:val="0"/>
                <w:numId w:val="10"/>
              </w:numPr>
              <w:suppressLineNumbers w:val="0"/>
              <w:overflowPunct/>
              <w:autoSpaceDE/>
              <w:autoSpaceDN/>
              <w:adjustRightInd/>
              <w:snapToGrid w:val="0"/>
              <w:spacing w:before="0" w:beforeAutospacing="0" w:after="120" w:afterAutospacing="0"/>
              <w:ind w:left="704" w:right="0" w:firstLineChars="0"/>
              <w:textAlignment w:val="auto"/>
              <w:rPr>
                <w:rFonts w:hint="default"/>
                <w:highlight w:val="none"/>
                <w:vertAlign w:val="baseline"/>
                <w:lang w:val="en-US" w:eastAsia="zh-CN"/>
              </w:rPr>
            </w:pPr>
            <w:r>
              <w:rPr>
                <w:rFonts w:hint="default"/>
                <w:szCs w:val="21"/>
              </w:rPr>
              <w:t>The above agreement applies if LO periodicity is equal to or larger than LP-SS periodicity,</w:t>
            </w:r>
            <w:r>
              <w:rPr>
                <w:rFonts w:hint="default"/>
                <w:szCs w:val="21"/>
                <w:highlight w:val="none"/>
              </w:rPr>
              <w:t xml:space="preserve"> FFS if LO periodicity is smaller than LP-SS periodicity.</w:t>
            </w:r>
          </w:p>
          <w:p>
            <w:pPr>
              <w:keepNext w:val="0"/>
              <w:keepLines w:val="0"/>
              <w:widowControl/>
              <w:suppressLineNumbers w:val="0"/>
              <w:spacing w:before="0" w:beforeAutospacing="0" w:afterAutospacing="0"/>
              <w:ind w:left="0" w:right="0"/>
              <w:rPr>
                <w:rFonts w:hint="eastAsia"/>
                <w:bCs/>
                <w:color w:val="000000" w:themeColor="text1"/>
                <w:sz w:val="20"/>
                <w:szCs w:val="20"/>
                <w:lang w:val="en-US" w:eastAsia="zh-CN"/>
                <w14:textFill>
                  <w14:solidFill>
                    <w14:schemeClr w14:val="tx1"/>
                  </w14:solidFill>
                </w14:textFill>
              </w:rPr>
            </w:pPr>
            <w:r>
              <w:rPr>
                <w:rFonts w:hint="eastAsia"/>
                <w:bCs/>
                <w:color w:val="000000" w:themeColor="text1"/>
                <w:sz w:val="20"/>
                <w:szCs w:val="20"/>
                <w:lang w:val="en-US" w:eastAsia="zh-CN"/>
                <w14:textFill>
                  <w14:solidFill>
                    <w14:schemeClr w14:val="tx1"/>
                  </w14:solidFill>
                </w14:textFill>
              </w:rPr>
              <w:t>RAN4 114 way forward:</w:t>
            </w:r>
          </w:p>
          <w:p>
            <w:pPr>
              <w:pStyle w:val="76"/>
              <w:keepNext w:val="0"/>
              <w:keepLines w:val="0"/>
              <w:widowControl/>
              <w:numPr>
                <w:ilvl w:val="0"/>
                <w:numId w:val="7"/>
              </w:numPr>
              <w:suppressLineNumbers w:val="0"/>
              <w:overflowPunct/>
              <w:autoSpaceDE/>
              <w:autoSpaceDN/>
              <w:adjustRightInd/>
              <w:spacing w:before="0" w:beforeAutospacing="0" w:after="120" w:afterAutospacing="0"/>
              <w:ind w:left="720"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 xml:space="preserve">Proposals </w:t>
            </w:r>
          </w:p>
          <w:p>
            <w:pPr>
              <w:pStyle w:val="76"/>
              <w:keepNext w:val="0"/>
              <w:keepLines w:val="0"/>
              <w:widowControl/>
              <w:numPr>
                <w:ilvl w:val="1"/>
                <w:numId w:val="7"/>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 xml:space="preserve">P1: Regardless of whether LP-SS is configured or not, periodicity for SSB based LP-WUR measurement delay requirements is based on LO periodicity. </w:t>
            </w:r>
          </w:p>
          <w:p>
            <w:pPr>
              <w:pStyle w:val="76"/>
              <w:keepNext w:val="0"/>
              <w:keepLines w:val="0"/>
              <w:widowControl/>
              <w:numPr>
                <w:ilvl w:val="1"/>
                <w:numId w:val="7"/>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 xml:space="preserve">P2: For periodicity for SSB based LP-WUR measurement delay requirements, when LP-SS is configured, the periodicity for SSB based LP-WUR measurement delay requirements </w:t>
            </w:r>
            <w:r>
              <w:rPr>
                <w:rFonts w:hint="eastAsia" w:eastAsia="宋体"/>
                <w:color w:val="000000" w:themeColor="text1"/>
                <w:szCs w:val="24"/>
                <w:lang w:eastAsia="zh-CN"/>
                <w14:textFill>
                  <w14:solidFill>
                    <w14:schemeClr w14:val="tx1"/>
                  </w14:solidFill>
                </w14:textFill>
              </w:rPr>
              <w:t>can</w:t>
            </w:r>
            <w:r>
              <w:rPr>
                <w:rFonts w:hint="default" w:eastAsia="宋体"/>
                <w:color w:val="000000" w:themeColor="text1"/>
                <w:szCs w:val="24"/>
                <w:lang w:eastAsia="zh-CN"/>
                <w14:textFill>
                  <w14:solidFill>
                    <w14:schemeClr w14:val="tx1"/>
                  </w14:solidFill>
                </w14:textFill>
              </w:rPr>
              <w:t xml:space="preserve"> be max { LO periodicity, LP-SS periodicity}</w:t>
            </w:r>
            <w:r>
              <w:rPr>
                <w:rFonts w:hint="eastAsia" w:eastAsia="宋体"/>
                <w:color w:val="000000" w:themeColor="text1"/>
                <w:szCs w:val="24"/>
                <w:lang w:eastAsia="zh-CN"/>
                <w14:textFill>
                  <w14:solidFill>
                    <w14:schemeClr w14:val="tx1"/>
                  </w14:solidFill>
                </w14:textFill>
              </w:rPr>
              <w:t>.</w:t>
            </w:r>
          </w:p>
          <w:p>
            <w:pPr>
              <w:pStyle w:val="76"/>
              <w:keepNext w:val="0"/>
              <w:keepLines w:val="0"/>
              <w:widowControl/>
              <w:numPr>
                <w:ilvl w:val="1"/>
                <w:numId w:val="7"/>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P3: For periodicity for SSB based LP-WUR measurement delay requirements, postpone the discussion for the case where LP-SS periodicity &gt; LO periodicity until RAN1 has more agreements for LP-SS periodicity</w:t>
            </w:r>
            <w:r>
              <w:rPr>
                <w:rFonts w:hint="eastAsia" w:eastAsia="宋体"/>
                <w:color w:val="000000" w:themeColor="text1"/>
                <w:szCs w:val="24"/>
                <w:lang w:eastAsia="zh-CN"/>
                <w14:textFill>
                  <w14:solidFill>
                    <w14:schemeClr w14:val="tx1"/>
                  </w14:solidFill>
                </w14:textFill>
              </w:rPr>
              <w:t>.</w:t>
            </w:r>
            <w:r>
              <w:rPr>
                <w:rFonts w:hint="default" w:eastAsia="宋体"/>
                <w:color w:val="000000" w:themeColor="text1"/>
                <w:szCs w:val="24"/>
                <w:lang w:eastAsia="zh-CN"/>
                <w14:textFill>
                  <w14:solidFill>
                    <w14:schemeClr w14:val="tx1"/>
                  </w14:solidFill>
                </w14:textFill>
              </w:rPr>
              <w:t xml:space="preserve"> </w:t>
            </w:r>
          </w:p>
          <w:p>
            <w:pPr>
              <w:pStyle w:val="76"/>
              <w:keepNext w:val="0"/>
              <w:keepLines w:val="0"/>
              <w:widowControl/>
              <w:numPr>
                <w:ilvl w:val="1"/>
                <w:numId w:val="7"/>
              </w:numPr>
              <w:suppressLineNumbers w:val="0"/>
              <w:overflowPunct/>
              <w:autoSpaceDE/>
              <w:autoSpaceDN/>
              <w:adjustRightInd/>
              <w:spacing w:before="0" w:beforeAutospacing="0" w:after="120" w:afterAutospacing="0"/>
              <w:ind w:right="0" w:firstLineChars="0"/>
              <w:textAlignment w:val="auto"/>
              <w:rPr>
                <w:rFonts w:hint="default" w:eastAsia="宋体"/>
                <w:szCs w:val="21"/>
                <w:lang w:val="en-US" w:eastAsia="zh-CN"/>
              </w:rPr>
            </w:pPr>
            <w:r>
              <w:rPr>
                <w:rFonts w:hint="default" w:eastAsia="宋体"/>
                <w:color w:val="000000" w:themeColor="text1"/>
                <w:szCs w:val="24"/>
                <w:lang w:eastAsia="zh-CN"/>
                <w14:textFill>
                  <w14:solidFill>
                    <w14:schemeClr w14:val="tx1"/>
                  </w14:solidFill>
                </w14:textFill>
              </w:rPr>
              <w:t>P4: For periodicity for SSB based LP-WUR measurement delay requirements, n</w:t>
            </w:r>
            <w:r>
              <w:rPr>
                <w:rFonts w:hint="eastAsia" w:eastAsia="宋体"/>
                <w:color w:val="000000" w:themeColor="text1"/>
                <w:szCs w:val="24"/>
                <w:lang w:eastAsia="zh-CN"/>
                <w14:textFill>
                  <w14:solidFill>
                    <w14:schemeClr w14:val="tx1"/>
                  </w14:solidFill>
                </w14:textFill>
              </w:rPr>
              <w:t>o requirement is defined if LO periodicity is smaller than LP-SS periodicity.</w:t>
            </w:r>
          </w:p>
          <w:p>
            <w:pPr>
              <w:pStyle w:val="76"/>
              <w:keepNext w:val="0"/>
              <w:keepLines w:val="0"/>
              <w:widowControl/>
              <w:numPr>
                <w:ilvl w:val="-1"/>
                <w:numId w:val="0"/>
              </w:numPr>
              <w:suppressLineNumbers w:val="0"/>
              <w:overflowPunct/>
              <w:autoSpaceDE/>
              <w:autoSpaceDN/>
              <w:adjustRightInd/>
              <w:spacing w:before="0" w:beforeAutospacing="0" w:after="120" w:afterAutospacing="0"/>
              <w:ind w:left="0" w:right="0" w:firstLine="0" w:firstLineChars="0"/>
              <w:textAlignment w:val="auto"/>
              <w:rPr>
                <w:rFonts w:hint="eastAsia" w:eastAsia="宋体"/>
                <w:color w:val="000000" w:themeColor="text1"/>
                <w:szCs w:val="24"/>
                <w:lang w:val="en-US" w:eastAsia="zh-CN"/>
                <w14:textFill>
                  <w14:solidFill>
                    <w14:schemeClr w14:val="tx1"/>
                  </w14:solidFill>
                </w14:textFill>
              </w:rPr>
            </w:pPr>
            <w:r>
              <w:rPr>
                <w:rFonts w:hint="eastAsia" w:eastAsia="宋体"/>
                <w:color w:val="000000" w:themeColor="text1"/>
                <w:szCs w:val="24"/>
                <w:lang w:val="en-US" w:eastAsia="zh-CN"/>
                <w14:textFill>
                  <w14:solidFill>
                    <w14:schemeClr w14:val="tx1"/>
                  </w14:solidFill>
                </w14:textFill>
              </w:rPr>
              <w:t>RAN4 114bis meeting:</w:t>
            </w:r>
          </w:p>
          <w:p>
            <w:pPr>
              <w:keepNext w:val="0"/>
              <w:keepLines w:val="0"/>
              <w:widowControl/>
              <w:suppressLineNumbers w:val="0"/>
              <w:snapToGrid w:val="0"/>
              <w:spacing w:before="0" w:beforeAutospacing="0" w:after="120" w:afterAutospacing="0"/>
              <w:ind w:left="0" w:right="0"/>
              <w:rPr>
                <w:rFonts w:hint="default" w:eastAsia="等线"/>
                <w:color w:val="000000"/>
                <w:sz w:val="21"/>
                <w:szCs w:val="21"/>
                <w:lang w:val="en-US" w:eastAsia="zh-CN"/>
              </w:rPr>
            </w:pPr>
            <w:r>
              <w:rPr>
                <w:rFonts w:hint="default" w:eastAsia="等线"/>
                <w:color w:val="000000"/>
                <w:sz w:val="21"/>
                <w:szCs w:val="21"/>
                <w:lang w:val="en-US" w:eastAsia="zh-CN"/>
              </w:rPr>
              <w:t>Agreement:</w:t>
            </w:r>
          </w:p>
          <w:p>
            <w:pPr>
              <w:pStyle w:val="76"/>
              <w:keepNext w:val="0"/>
              <w:keepLines w:val="0"/>
              <w:widowControl/>
              <w:numPr>
                <w:ilvl w:val="-1"/>
                <w:numId w:val="0"/>
              </w:numPr>
              <w:suppressLineNumbers w:val="0"/>
              <w:overflowPunct/>
              <w:autoSpaceDE/>
              <w:autoSpaceDN/>
              <w:adjustRightInd/>
              <w:spacing w:before="0" w:beforeAutospacing="0" w:after="120" w:afterAutospacing="0"/>
              <w:ind w:left="0" w:right="0" w:firstLine="0" w:firstLineChars="0"/>
              <w:textAlignment w:val="auto"/>
              <w:rPr>
                <w:rFonts w:hint="default" w:eastAsia="宋体"/>
                <w:color w:val="000000" w:themeColor="text1"/>
                <w:szCs w:val="24"/>
                <w:lang w:val="en-US" w:eastAsia="zh-CN"/>
                <w14:textFill>
                  <w14:solidFill>
                    <w14:schemeClr w14:val="tx1"/>
                  </w14:solidFill>
                </w14:textFill>
              </w:rPr>
            </w:pPr>
            <w:r>
              <w:rPr>
                <w:rFonts w:hint="default"/>
                <w:color w:val="000000" w:themeColor="text1"/>
                <w:sz w:val="21"/>
                <w:szCs w:val="21"/>
                <w:lang w:eastAsia="zh-CN"/>
                <w14:textFill>
                  <w14:solidFill>
                    <w14:schemeClr w14:val="tx1"/>
                  </w14:solidFill>
                </w14:textFill>
              </w:rPr>
              <w:t>Regardless of whether LP-SS is configured or not, periodicity for SSB based LP-WUR measurement delay requirements is based on LO periodicity.</w:t>
            </w:r>
          </w:p>
        </w:tc>
      </w:tr>
    </w:tbl>
    <w:p>
      <w:pPr>
        <w:pStyle w:val="2"/>
        <w:spacing w:beforeLines="50"/>
        <w:rPr>
          <w:rFonts w:hint="eastAsia"/>
          <w:lang w:val="en-US" w:eastAsia="zh-CN"/>
        </w:rPr>
      </w:pPr>
      <w:r>
        <w:rPr>
          <w:rFonts w:hint="eastAsia"/>
          <w:lang w:val="en-US" w:eastAsia="zh-CN"/>
        </w:rPr>
        <w:t>We think the upper bound is need on SSB-based LP-WUR measurement periodicity. Actually, defining the upper bound is beneficial to the service quality for LR measurement. It is a trade-off between power saving and how fast UE can exit LR when the channel condition is worse. To our understanding, in cases where channel condition drastically deteriorates, if there is a rapid exit from the current LP-WUR mode coupled with corresponding adjustments, UEs will be able to respond more effectively to unexpected situations. For instance, during mobility, when a UE transitions from a region with high-quality links to an area with weaker links, it needs to promptly detect this change and implement appropriate measures to maintain communication quality. If the communication quality can not be guaranteed, the power saving gain would not be considered, and we do not think if the upper bound is settled, the power consumption will be largely increased.</w:t>
      </w:r>
    </w:p>
    <w:p>
      <w:pPr>
        <w:pStyle w:val="2"/>
        <w:rPr>
          <w:rFonts w:hint="eastAsia"/>
          <w:b/>
          <w:bCs/>
          <w:lang w:val="en-US" w:eastAsia="zh-CN"/>
        </w:rPr>
      </w:pPr>
      <w:r>
        <w:rPr>
          <w:rFonts w:hint="eastAsia"/>
          <w:b/>
          <w:bCs/>
          <w:lang w:val="en-US" w:eastAsia="zh-CN"/>
        </w:rPr>
        <w:t>Observation 3: If the communication quality can not be guaranteed, the power saving gain would not be considered, and we do not think if the upper bound is settled, the power consumption will be largely increased.</w:t>
      </w:r>
    </w:p>
    <w:p>
      <w:pPr>
        <w:pStyle w:val="2"/>
        <w:rPr>
          <w:rFonts w:hint="eastAsia"/>
          <w:b/>
          <w:bCs/>
          <w:lang w:val="en-US" w:eastAsia="zh-CN"/>
        </w:rPr>
      </w:pPr>
      <w:r>
        <w:rPr>
          <w:rFonts w:hint="eastAsia"/>
          <w:b/>
          <w:bCs/>
          <w:lang w:val="en-US" w:eastAsia="zh-CN"/>
        </w:rPr>
        <w:t>Proposal 2: The upper bound is needed on SSB-based LP-WUR measurement periodicity if LP-SS is not configured.</w:t>
      </w:r>
    </w:p>
    <w:p>
      <w:pPr>
        <w:pStyle w:val="4"/>
        <w:rPr>
          <w:rFonts w:eastAsiaTheme="minorEastAsia"/>
          <w:sz w:val="28"/>
          <w:szCs w:val="18"/>
        </w:rPr>
      </w:pPr>
      <w:r>
        <w:rPr>
          <w:rFonts w:hint="eastAsia" w:eastAsiaTheme="minorEastAsia"/>
          <w:sz w:val="28"/>
          <w:szCs w:val="18"/>
          <w:lang w:val="en-US" w:eastAsia="zh-CN"/>
        </w:rPr>
        <w:t>RRM requirements for FR2</w:t>
      </w:r>
    </w:p>
    <w:p>
      <w:pPr>
        <w:pStyle w:val="2"/>
        <w:spacing w:beforeLines="50"/>
        <w:rPr>
          <w:rFonts w:hint="eastAsia"/>
          <w:b w:val="0"/>
          <w:bCs w:val="0"/>
          <w:lang w:val="en-US" w:eastAsia="zh-CN"/>
        </w:rPr>
      </w:pPr>
      <w:r>
        <w:rPr>
          <w:rFonts w:hint="eastAsia"/>
          <w:b w:val="0"/>
          <w:bCs w:val="0"/>
          <w:lang w:val="en-US" w:eastAsia="zh-CN"/>
        </w:rPr>
        <w:t>The current way forward could be seen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76"/>
              <w:keepNext w:val="0"/>
              <w:keepLines w:val="0"/>
              <w:widowControl/>
              <w:numPr>
                <w:ilvl w:val="1"/>
                <w:numId w:val="7"/>
              </w:numPr>
              <w:suppressLineNumbers w:val="0"/>
              <w:overflowPunct/>
              <w:autoSpaceDE/>
              <w:autoSpaceDN/>
              <w:adjustRightInd/>
              <w:spacing w:before="0" w:beforeAutospacing="0" w:after="120" w:afterAutospacing="0"/>
              <w:ind w:left="0"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 xml:space="preserve">Proposals </w:t>
            </w:r>
          </w:p>
          <w:p>
            <w:pPr>
              <w:pStyle w:val="76"/>
              <w:keepNext w:val="0"/>
              <w:keepLines w:val="0"/>
              <w:widowControl/>
              <w:numPr>
                <w:ilvl w:val="-1"/>
                <w:numId w:val="0"/>
              </w:numPr>
              <w:suppressLineNumbers w:val="0"/>
              <w:overflowPunct/>
              <w:autoSpaceDE/>
              <w:autoSpaceDN/>
              <w:adjustRightInd/>
              <w:spacing w:before="0" w:beforeAutospacing="0" w:after="120" w:afterAutospacing="0"/>
              <w:ind w:left="0" w:right="0" w:firstLine="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P1: Prioritize defining RRM requirements for FR1 in this WI (Apple Nokia)</w:t>
            </w:r>
          </w:p>
          <w:p>
            <w:pPr>
              <w:pStyle w:val="76"/>
              <w:keepNext w:val="0"/>
              <w:keepLines w:val="0"/>
              <w:widowControl/>
              <w:numPr>
                <w:ilvl w:val="-1"/>
                <w:numId w:val="0"/>
              </w:numPr>
              <w:suppressLineNumbers w:val="0"/>
              <w:spacing w:before="0" w:beforeAutospacing="0" w:afterAutospacing="0"/>
              <w:ind w:left="0" w:right="0" w:firstLine="0"/>
              <w:rPr>
                <w:rFonts w:hint="eastAsia"/>
                <w:b w:val="0"/>
                <w:bCs w:val="0"/>
                <w:vertAlign w:val="baseline"/>
                <w:lang w:val="en-US" w:eastAsia="zh-CN"/>
              </w:rPr>
            </w:pPr>
            <w:r>
              <w:rPr>
                <w:rFonts w:hint="default" w:eastAsia="宋体"/>
                <w:color w:val="000000" w:themeColor="text1"/>
                <w:szCs w:val="24"/>
                <w:lang w:eastAsia="zh-CN"/>
                <w14:textFill>
                  <w14:solidFill>
                    <w14:schemeClr w14:val="tx1"/>
                  </w14:solidFill>
                </w14:textFill>
              </w:rPr>
              <w:t>P2: There is not any concrete proposal on FR2 requirements so far. Suggest RAN4 to confirm whether FR2 RRM requirement needs be defined in this release, or confirm the status of FR2 requirement will not impact the completion of WI (vivo, Nokia)</w:t>
            </w:r>
          </w:p>
        </w:tc>
      </w:tr>
    </w:tbl>
    <w:p>
      <w:pPr>
        <w:pStyle w:val="2"/>
        <w:spacing w:beforeLines="50"/>
        <w:rPr>
          <w:rFonts w:hint="eastAsia"/>
          <w:b w:val="0"/>
          <w:bCs w:val="0"/>
          <w:lang w:val="en-US" w:eastAsia="zh-CN"/>
        </w:rPr>
      </w:pPr>
      <w:r>
        <w:rPr>
          <w:rFonts w:hint="eastAsia"/>
          <w:b w:val="0"/>
          <w:bCs w:val="0"/>
          <w:lang w:val="en-US" w:eastAsia="zh-CN"/>
        </w:rPr>
        <w:t>First of all, the latest WID does not preclude FR2, RAN1/RF session have some discussion and agreements on FR2. In theory, RRM session shall consider defining related RRM requirements on FR2. However, considering RAN4 workload and the complexity of defining FR2 requirements with beam sweeping, RAN4 could prioritize FR1 issues in this WI. To sum up, we are open to consider LP-WUS on FR2.</w:t>
      </w:r>
    </w:p>
    <w:p>
      <w:pPr>
        <w:pStyle w:val="2"/>
        <w:spacing w:beforeLines="50"/>
        <w:rPr>
          <w:rFonts w:hint="eastAsia"/>
          <w:b/>
          <w:bCs/>
          <w:lang w:val="en-US" w:eastAsia="zh-CN"/>
        </w:rPr>
      </w:pPr>
      <w:r>
        <w:rPr>
          <w:rFonts w:hint="eastAsia"/>
          <w:b/>
          <w:bCs/>
          <w:lang w:val="en-US" w:eastAsia="zh-CN"/>
        </w:rPr>
        <w:t>Proposal 3: We are open to consider RRM requirements on FR2.</w:t>
      </w:r>
    </w:p>
    <w:p>
      <w:pPr>
        <w:pStyle w:val="4"/>
        <w:rPr>
          <w:rFonts w:eastAsiaTheme="minorEastAsia"/>
          <w:sz w:val="28"/>
          <w:szCs w:val="18"/>
        </w:rPr>
      </w:pPr>
      <w:r>
        <w:rPr>
          <w:rFonts w:hint="eastAsia" w:eastAsiaTheme="minorEastAsia"/>
          <w:sz w:val="28"/>
          <w:szCs w:val="18"/>
          <w:lang w:val="en-US" w:eastAsia="zh-CN"/>
        </w:rPr>
        <w:t>Detail on LR accuracy and side conditions requirements</w:t>
      </w:r>
    </w:p>
    <w:p>
      <w:pPr>
        <w:pStyle w:val="2"/>
        <w:spacing w:beforeLines="50"/>
        <w:rPr>
          <w:rFonts w:hint="eastAsia"/>
          <w:b w:val="0"/>
          <w:bCs w:val="0"/>
          <w:lang w:val="en-US" w:eastAsia="zh-CN"/>
        </w:rPr>
      </w:pPr>
      <w:r>
        <w:rPr>
          <w:rFonts w:hint="eastAsia"/>
          <w:b w:val="0"/>
          <w:bCs w:val="0"/>
          <w:lang w:val="en-US" w:eastAsia="zh-CN"/>
        </w:rPr>
        <w:t>In the last meeting, we spent some time on discussing RF impairment margin, there are two options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96"/>
              <w:widowControl/>
              <w:numPr>
                <w:ilvl w:val="-1"/>
                <w:numId w:val="0"/>
              </w:numPr>
              <w:overflowPunct/>
              <w:autoSpaceDE/>
              <w:autoSpaceDN w:val="0"/>
              <w:adjustRightInd/>
              <w:snapToGrid w:val="0"/>
              <w:ind w:left="1080" w:firstLine="0"/>
              <w:rPr>
                <w:rFonts w:eastAsia="宋体"/>
                <w:color w:val="000000"/>
                <w:szCs w:val="21"/>
                <w:lang w:val="en-US"/>
              </w:rPr>
            </w:pPr>
            <w:r>
              <w:rPr>
                <w:rFonts w:eastAsia="宋体"/>
                <w:color w:val="000000"/>
                <w:szCs w:val="21"/>
                <w:lang w:val="en-US"/>
              </w:rPr>
              <w:t xml:space="preserve">Proposals </w:t>
            </w:r>
          </w:p>
          <w:p>
            <w:pPr>
              <w:pStyle w:val="96"/>
              <w:widowControl/>
              <w:numPr>
                <w:ilvl w:val="1"/>
                <w:numId w:val="11"/>
              </w:numPr>
              <w:overflowPunct/>
              <w:autoSpaceDE/>
              <w:autoSpaceDN w:val="0"/>
              <w:adjustRightInd/>
              <w:snapToGrid w:val="0"/>
              <w:ind w:left="1440" w:hanging="360"/>
              <w:rPr>
                <w:rFonts w:eastAsia="宋体"/>
                <w:color w:val="000000"/>
                <w:szCs w:val="21"/>
                <w:lang w:val="en-US"/>
              </w:rPr>
            </w:pPr>
            <w:r>
              <w:rPr>
                <w:rFonts w:eastAsia="宋体"/>
                <w:color w:val="000000"/>
                <w:szCs w:val="21"/>
                <w:lang w:val="en-US"/>
              </w:rPr>
              <w:t xml:space="preserve">P1: </w:t>
            </w:r>
            <w:bookmarkStart w:id="3" w:name="_Hlk198040247"/>
            <w:r>
              <w:rPr>
                <w:rFonts w:eastAsia="宋体"/>
                <w:color w:val="000000"/>
                <w:szCs w:val="21"/>
                <w:lang w:val="en-US"/>
              </w:rPr>
              <w:t xml:space="preserve">Use 2.5 dB as the RF impairment margin for LP-RSRP accuracy requirements. </w:t>
            </w:r>
          </w:p>
          <w:bookmarkEnd w:id="3"/>
          <w:p>
            <w:pPr>
              <w:pStyle w:val="96"/>
              <w:numPr>
                <w:ilvl w:val="1"/>
                <w:numId w:val="11"/>
              </w:numPr>
              <w:autoSpaceDN w:val="0"/>
              <w:snapToGrid w:val="0"/>
              <w:ind w:left="1440" w:hanging="360"/>
              <w:rPr>
                <w:rFonts w:hint="eastAsia"/>
                <w:b w:val="0"/>
                <w:bCs w:val="0"/>
                <w:vertAlign w:val="baseline"/>
                <w:lang w:val="en-US" w:eastAsia="zh-CN"/>
              </w:rPr>
            </w:pPr>
            <w:r>
              <w:rPr>
                <w:rFonts w:eastAsia="宋体"/>
                <w:color w:val="000000"/>
                <w:szCs w:val="21"/>
                <w:lang w:val="en-US"/>
              </w:rPr>
              <w:t xml:space="preserve">P2: Consider 3.5 dB RF impairment margin for LR </w:t>
            </w:r>
          </w:p>
        </w:tc>
      </w:tr>
    </w:tbl>
    <w:p>
      <w:pPr>
        <w:pStyle w:val="2"/>
        <w:spacing w:beforeLines="50"/>
        <w:rPr>
          <w:rFonts w:hint="eastAsia"/>
          <w:b w:val="0"/>
          <w:bCs w:val="0"/>
          <w:lang w:val="en-US" w:eastAsia="zh-CN"/>
        </w:rPr>
      </w:pPr>
      <w:r>
        <w:rPr>
          <w:rFonts w:hint="eastAsia"/>
          <w:b w:val="0"/>
          <w:bCs w:val="0"/>
          <w:lang w:val="en-US" w:eastAsia="zh-CN"/>
        </w:rPr>
        <w:t>Most companies support P1, which use 2.5dB as RF impairment margin like legacy. The legacy margin could be seen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keepNext w:val="0"/>
              <w:keepLines w:val="0"/>
              <w:widowControl/>
              <w:suppressLineNumbers w:val="0"/>
              <w:spacing w:before="100" w:beforeAutospacing="0" w:after="0" w:afterAutospacing="0" w:line="216" w:lineRule="auto"/>
              <w:ind w:left="0" w:right="0"/>
              <w:jc w:val="left"/>
              <w:rPr>
                <w:rFonts w:hint="eastAsia"/>
                <w:b/>
                <w:bCs/>
                <w:sz w:val="20"/>
                <w:szCs w:val="20"/>
                <w:vertAlign w:val="baseline"/>
                <w:lang w:val="en-US" w:eastAsia="zh-CN"/>
              </w:rPr>
            </w:pPr>
            <w:r>
              <w:rPr>
                <w:rFonts w:hint="eastAsia"/>
                <w:b/>
                <w:bCs/>
                <w:sz w:val="20"/>
                <w:szCs w:val="20"/>
                <w:vertAlign w:val="baseline"/>
                <w:lang w:val="en-US" w:eastAsia="zh-CN"/>
              </w:rPr>
              <w:t>R4-1904820:</w:t>
            </w:r>
          </w:p>
          <w:p>
            <w:pPr>
              <w:keepNext w:val="0"/>
              <w:keepLines w:val="0"/>
              <w:widowControl/>
              <w:suppressLineNumbers w:val="0"/>
              <w:spacing w:before="100" w:beforeAutospacing="0" w:after="0" w:afterAutospacing="0" w:line="216" w:lineRule="auto"/>
              <w:ind w:left="0" w:right="0"/>
              <w:jc w:val="left"/>
              <w:rPr>
                <w:rFonts w:hint="default"/>
                <w:b w:val="0"/>
                <w:bCs w:val="0"/>
                <w:sz w:val="20"/>
                <w:szCs w:val="20"/>
                <w:vertAlign w:val="baseline"/>
                <w:lang w:val="en-US" w:eastAsia="zh-CN"/>
              </w:rPr>
            </w:pPr>
            <w:r>
              <w:rPr>
                <w:rFonts w:hint="eastAsia" w:ascii="Times New Roman" w:hAnsi="Times New Roman" w:eastAsia="Times New Roman" w:cs="Times New Roman"/>
                <w:kern w:val="0"/>
                <w:sz w:val="20"/>
                <w:szCs w:val="20"/>
                <w:lang w:val="en-US" w:eastAsia="zh-CN" w:bidi="ar-SA"/>
              </w:rPr>
              <w:t xml:space="preserve">Normal condition with Io=-70dBm/BW is derived by adding 1.0dB (fading) + </w:t>
            </w:r>
            <w:r>
              <w:rPr>
                <w:rFonts w:hint="eastAsia" w:ascii="Times New Roman" w:hAnsi="Times New Roman" w:eastAsia="Times New Roman" w:cs="Times New Roman"/>
                <w:kern w:val="0"/>
                <w:sz w:val="20"/>
                <w:szCs w:val="20"/>
                <w:highlight w:val="yellow"/>
                <w:lang w:val="en-US" w:eastAsia="zh-CN" w:bidi="ar-SA"/>
              </w:rPr>
              <w:t>2.5dB (RF margin)</w:t>
            </w:r>
            <w:r>
              <w:rPr>
                <w:rFonts w:hint="eastAsia" w:ascii="Times New Roman" w:hAnsi="Times New Roman" w:eastAsia="Times New Roman" w:cs="Times New Roman"/>
                <w:kern w:val="0"/>
                <w:sz w:val="20"/>
                <w:szCs w:val="20"/>
                <w:lang w:val="en-US" w:eastAsia="zh-CN" w:bidi="ar-SA"/>
              </w:rPr>
              <w:t xml:space="preserve"> to the average of alignment results (1.5dB). =&gt; 1.5+2.5+1.0 = [+/-5.0]dB</w:t>
            </w:r>
          </w:p>
        </w:tc>
      </w:tr>
    </w:tbl>
    <w:p>
      <w:pPr>
        <w:pStyle w:val="2"/>
        <w:spacing w:beforeLines="50"/>
        <w:rPr>
          <w:rFonts w:hint="eastAsia"/>
          <w:b w:val="0"/>
          <w:bCs w:val="0"/>
          <w:lang w:val="en-US" w:eastAsia="zh-CN"/>
        </w:rPr>
      </w:pPr>
      <w:r>
        <w:rPr>
          <w:rFonts w:hint="eastAsia"/>
          <w:b w:val="0"/>
          <w:bCs w:val="0"/>
          <w:lang w:val="en-US" w:eastAsia="zh-CN"/>
        </w:rPr>
        <w:t>Furthermore, RF session has already defined the IM margin in previous meeting which is similar to RF impairment margin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pStyle w:val="76"/>
              <w:keepNext w:val="0"/>
              <w:keepLines w:val="0"/>
              <w:widowControl/>
              <w:numPr>
                <w:ilvl w:val="0"/>
                <w:numId w:val="12"/>
              </w:numPr>
              <w:suppressLineNumbers w:val="0"/>
              <w:spacing w:before="0" w:beforeAutospacing="0" w:after="120" w:afterAutospacing="0"/>
              <w:ind w:right="0"/>
              <w:rPr>
                <w:rFonts w:hint="default"/>
                <w:b/>
                <w:bCs/>
                <w:szCs w:val="24"/>
                <w:lang w:eastAsia="zh-CN"/>
              </w:rPr>
            </w:pPr>
            <w:r>
              <w:rPr>
                <w:rFonts w:hint="eastAsia"/>
                <w:b/>
                <w:bCs/>
                <w:szCs w:val="24"/>
                <w:lang w:eastAsia="zh-CN"/>
              </w:rPr>
              <w:t>A</w:t>
            </w:r>
            <w:r>
              <w:rPr>
                <w:rFonts w:hint="default"/>
                <w:b/>
                <w:bCs/>
                <w:szCs w:val="24"/>
                <w:lang w:eastAsia="zh-CN"/>
              </w:rPr>
              <w:t xml:space="preserve">greement: </w:t>
            </w:r>
          </w:p>
          <w:p>
            <w:pPr>
              <w:pStyle w:val="76"/>
              <w:keepNext w:val="0"/>
              <w:keepLines w:val="0"/>
              <w:widowControl/>
              <w:numPr>
                <w:ilvl w:val="0"/>
                <w:numId w:val="12"/>
              </w:numPr>
              <w:suppressLineNumbers w:val="0"/>
              <w:spacing w:before="0" w:beforeAutospacing="0" w:after="120" w:afterAutospacing="0"/>
              <w:ind w:right="0" w:firstLineChars="0"/>
              <w:rPr>
                <w:rFonts w:hint="default"/>
              </w:rPr>
            </w:pPr>
            <w:r>
              <w:rPr>
                <w:rFonts w:hint="eastAsia"/>
              </w:rPr>
              <w:t>F</w:t>
            </w:r>
            <w:r>
              <w:rPr>
                <w:rFonts w:hint="default"/>
              </w:rPr>
              <w:t>or the FR1 requirements targeting at bands &lt;2.5GHz</w:t>
            </w:r>
          </w:p>
          <w:p>
            <w:pPr>
              <w:pStyle w:val="76"/>
              <w:keepNext w:val="0"/>
              <w:keepLines w:val="0"/>
              <w:widowControl/>
              <w:numPr>
                <w:ilvl w:val="0"/>
                <w:numId w:val="12"/>
              </w:numPr>
              <w:suppressLineNumbers w:val="0"/>
              <w:spacing w:before="0" w:beforeAutospacing="0" w:after="120" w:afterAutospacing="0"/>
              <w:ind w:right="0" w:firstLineChars="0"/>
              <w:rPr>
                <w:rFonts w:hint="default"/>
              </w:rPr>
            </w:pPr>
            <w:r>
              <w:rPr>
                <w:rFonts w:hint="eastAsia"/>
              </w:rPr>
              <w:t>The IM</w:t>
            </w:r>
            <w:r>
              <w:rPr>
                <w:rFonts w:hint="default"/>
              </w:rPr>
              <w:t>+N</w:t>
            </w:r>
            <w:r>
              <w:rPr>
                <w:rFonts w:hint="eastAsia" w:eastAsiaTheme="minorEastAsia"/>
                <w:lang w:eastAsia="zh-CN"/>
              </w:rPr>
              <w:t>F</w:t>
            </w:r>
            <w:r>
              <w:rPr>
                <w:rFonts w:hint="eastAsia"/>
              </w:rPr>
              <w:t xml:space="preserve"> value</w:t>
            </w:r>
            <w:r>
              <w:rPr>
                <w:rFonts w:hint="default"/>
              </w:rPr>
              <w:t>s</w:t>
            </w:r>
            <w:r>
              <w:rPr>
                <w:rFonts w:hint="eastAsia"/>
              </w:rPr>
              <w:t xml:space="preserve"> </w:t>
            </w:r>
            <w:r>
              <w:rPr>
                <w:rFonts w:hint="default"/>
              </w:rPr>
              <w:t>are</w:t>
            </w:r>
          </w:p>
          <w:p>
            <w:pPr>
              <w:pStyle w:val="76"/>
              <w:keepNext w:val="0"/>
              <w:keepLines w:val="0"/>
              <w:widowControl/>
              <w:numPr>
                <w:ilvl w:val="0"/>
                <w:numId w:val="12"/>
              </w:numPr>
              <w:suppressLineNumbers w:val="0"/>
              <w:spacing w:before="0" w:beforeAutospacing="0" w:after="120" w:afterAutospacing="0"/>
              <w:ind w:right="0" w:firstLineChars="0"/>
              <w:rPr>
                <w:rFonts w:hint="default"/>
              </w:rPr>
            </w:pPr>
            <w:r>
              <w:rPr>
                <w:rFonts w:hint="default" w:eastAsiaTheme="minorEastAsia"/>
              </w:rPr>
              <w:t>Set 1: 18dB</w:t>
            </w:r>
          </w:p>
          <w:p>
            <w:pPr>
              <w:pStyle w:val="76"/>
              <w:keepNext w:val="0"/>
              <w:keepLines w:val="0"/>
              <w:widowControl/>
              <w:numPr>
                <w:ilvl w:val="0"/>
                <w:numId w:val="12"/>
              </w:numPr>
              <w:suppressLineNumbers w:val="0"/>
              <w:spacing w:before="0" w:beforeAutospacing="0" w:after="120" w:afterAutospacing="0"/>
              <w:ind w:right="0" w:firstLineChars="0"/>
              <w:rPr>
                <w:rFonts w:hint="default"/>
              </w:rPr>
            </w:pPr>
            <w:r>
              <w:rPr>
                <w:rFonts w:hint="default" w:eastAsiaTheme="minorEastAsia"/>
              </w:rPr>
              <w:t>Set 2: 13.5dB</w:t>
            </w:r>
          </w:p>
          <w:p>
            <w:pPr>
              <w:pStyle w:val="76"/>
              <w:keepNext w:val="0"/>
              <w:keepLines w:val="0"/>
              <w:widowControl/>
              <w:numPr>
                <w:ilvl w:val="0"/>
                <w:numId w:val="12"/>
              </w:numPr>
              <w:suppressLineNumbers w:val="0"/>
              <w:overflowPunct/>
              <w:autoSpaceDE/>
              <w:autoSpaceDN/>
              <w:adjustRightInd/>
              <w:spacing w:before="0" w:beforeAutospacing="0" w:after="120" w:afterAutospacing="0"/>
              <w:ind w:right="0" w:firstLineChars="0"/>
              <w:textAlignment w:val="auto"/>
              <w:rPr>
                <w:rFonts w:hint="default" w:eastAsia="宋体"/>
                <w:szCs w:val="24"/>
                <w:lang w:val="en-US" w:eastAsia="zh-CN"/>
              </w:rPr>
            </w:pPr>
            <w:r>
              <w:rPr>
                <w:rFonts w:hint="eastAsia" w:eastAsia="宋体"/>
                <w:szCs w:val="24"/>
                <w:lang w:val="en-US" w:eastAsia="zh-CN"/>
              </w:rPr>
              <w:t xml:space="preserve">Send an LS to RAN1 with RAN4 decision of two sets of : NF </w:t>
            </w:r>
            <w:r>
              <w:rPr>
                <w:rFonts w:hint="eastAsia" w:eastAsia="宋体"/>
                <w:szCs w:val="24"/>
                <w:highlight w:val="yellow"/>
                <w:lang w:val="en-US" w:eastAsia="zh-CN"/>
              </w:rPr>
              <w:t>(assume IM is 2.5dB)</w:t>
            </w:r>
          </w:p>
          <w:p>
            <w:pPr>
              <w:pStyle w:val="76"/>
              <w:keepNext w:val="0"/>
              <w:keepLines w:val="0"/>
              <w:widowControl/>
              <w:numPr>
                <w:ilvl w:val="0"/>
                <w:numId w:val="12"/>
              </w:numPr>
              <w:suppressLineNumbers w:val="0"/>
              <w:overflowPunct/>
              <w:autoSpaceDE/>
              <w:autoSpaceDN/>
              <w:adjustRightInd/>
              <w:spacing w:before="0" w:beforeAutospacing="0" w:after="120" w:afterAutospacing="0"/>
              <w:ind w:right="0" w:firstLineChars="0"/>
              <w:textAlignment w:val="auto"/>
              <w:rPr>
                <w:rFonts w:hint="default" w:eastAsia="宋体"/>
                <w:szCs w:val="24"/>
                <w:lang w:val="en-US" w:eastAsia="zh-CN"/>
              </w:rPr>
            </w:pPr>
            <w:r>
              <w:rPr>
                <w:rFonts w:hint="default" w:eastAsia="宋体"/>
                <w:szCs w:val="24"/>
                <w:lang w:val="en-US" w:eastAsia="zh-CN"/>
              </w:rPr>
              <w:t>A</w:t>
            </w:r>
            <w:r>
              <w:rPr>
                <w:rFonts w:hint="eastAsia" w:eastAsia="宋体"/>
                <w:szCs w:val="24"/>
                <w:lang w:val="en-US" w:eastAsia="zh-CN"/>
              </w:rPr>
              <w:t xml:space="preserve">sk RAN1 to check whether coverage target can be met based on above NF information. </w:t>
            </w:r>
            <w:r>
              <w:rPr>
                <w:rFonts w:hint="default" w:eastAsia="宋体"/>
                <w:szCs w:val="24"/>
                <w:lang w:val="en-US" w:eastAsia="zh-CN"/>
              </w:rPr>
              <w:t>A</w:t>
            </w:r>
            <w:r>
              <w:rPr>
                <w:rFonts w:hint="eastAsia" w:eastAsia="宋体"/>
                <w:szCs w:val="24"/>
                <w:lang w:val="en-US" w:eastAsia="zh-CN"/>
              </w:rPr>
              <w:t>nd ask for detailed signal configuration (e.g., chip rate, length of sequence) of LP-WUS.</w:t>
            </w:r>
          </w:p>
          <w:p>
            <w:pPr>
              <w:pStyle w:val="76"/>
              <w:keepNext w:val="0"/>
              <w:keepLines w:val="0"/>
              <w:widowControl/>
              <w:numPr>
                <w:ilvl w:val="0"/>
                <w:numId w:val="12"/>
              </w:numPr>
              <w:suppressLineNumbers w:val="0"/>
              <w:spacing w:before="0" w:beforeAutospacing="0" w:afterAutospacing="0"/>
              <w:ind w:right="0"/>
              <w:rPr>
                <w:rFonts w:hint="eastAsia"/>
                <w:b w:val="0"/>
                <w:bCs w:val="0"/>
                <w:vertAlign w:val="baseline"/>
                <w:lang w:val="en-US" w:eastAsia="zh-CN"/>
              </w:rPr>
            </w:pPr>
            <w:r>
              <w:rPr>
                <w:rFonts w:hint="eastAsia" w:eastAsia="宋体"/>
                <w:szCs w:val="24"/>
                <w:lang w:val="en-US" w:eastAsia="zh-CN"/>
              </w:rPr>
              <w:t>LS should also cc RAN2</w:t>
            </w:r>
          </w:p>
        </w:tc>
      </w:tr>
    </w:tbl>
    <w:p>
      <w:pPr>
        <w:pStyle w:val="2"/>
        <w:spacing w:beforeLines="50"/>
        <w:rPr>
          <w:rFonts w:hint="eastAsia"/>
          <w:b w:val="0"/>
          <w:bCs w:val="0"/>
          <w:lang w:val="en-US" w:eastAsia="zh-CN"/>
        </w:rPr>
      </w:pPr>
      <w:r>
        <w:rPr>
          <w:rFonts w:hint="eastAsia"/>
          <w:b w:val="0"/>
          <w:bCs w:val="0"/>
          <w:lang w:val="en-US" w:eastAsia="zh-CN"/>
        </w:rPr>
        <w:t xml:space="preserve">From MAPL perspective, we know that the more MAPL, the larger coverage. We know that </w:t>
      </w:r>
    </w:p>
    <w:p>
      <w:pPr>
        <w:pStyle w:val="2"/>
        <w:spacing w:beforeLines="50"/>
        <w:jc w:val="center"/>
        <w:rPr>
          <w:rFonts w:hint="eastAsia"/>
          <w:lang w:val="en-US"/>
        </w:rPr>
      </w:pPr>
      <w:r>
        <w:rPr>
          <w:rFonts w:hint="eastAsia"/>
          <w:b w:val="0"/>
          <w:bCs w:val="0"/>
          <w:lang w:val="en-US" w:eastAsia="zh-CN"/>
        </w:rPr>
        <w:t xml:space="preserve">MAPL= </w:t>
      </w:r>
      <w:r>
        <w:rPr>
          <w:rFonts w:hint="eastAsia"/>
          <w:lang w:val="en-US"/>
        </w:rPr>
        <w:t>Tx_power + Tx_ant_gain + Rx_ant_gain - Rx_sensitivity - Margin_total</w:t>
      </w:r>
    </w:p>
    <w:p>
      <w:pPr>
        <w:pStyle w:val="2"/>
        <w:spacing w:beforeLines="50"/>
        <w:rPr>
          <w:rFonts w:hint="eastAsia"/>
          <w:lang w:val="en-US" w:eastAsia="zh-CN"/>
        </w:rPr>
      </w:pPr>
      <w:r>
        <w:rPr>
          <w:rFonts w:hint="eastAsia"/>
          <w:lang w:val="en-US" w:eastAsia="zh-CN"/>
        </w:rPr>
        <w:t>RF margin is included in Margin total, if the RF margin is large, the MAPL will be decreased and the communication coverage will be decreased. If the same coverage is ensured under different RF margin, the power consumption will be increased, which is not good to power saving neither for network nor UE. For network, if larger RF margin is used, the transmission power shall be increased, or the REFSENSE of UE will be improved.</w:t>
      </w:r>
    </w:p>
    <w:p>
      <w:pPr>
        <w:pStyle w:val="2"/>
        <w:spacing w:beforeLines="50"/>
        <w:rPr>
          <w:rFonts w:hint="eastAsia"/>
          <w:lang w:val="en-US"/>
        </w:rPr>
      </w:pPr>
      <w:r>
        <w:rPr>
          <w:rFonts w:hint="eastAsia"/>
          <w:lang w:val="en-US"/>
        </w:rPr>
        <w:t xml:space="preserve">From the perspective of L1-RSRP accuracy, low RF margin reduces the system's tolerance for measurement errors. This requires the UE to provide higher reliability in L1-RSRP measurement accuracy to maintain </w:t>
      </w:r>
      <w:r>
        <w:rPr>
          <w:rFonts w:hint="eastAsia" w:eastAsia="宋体"/>
          <w:lang w:val="en-US" w:eastAsia="zh-CN"/>
        </w:rPr>
        <w:t>system</w:t>
      </w:r>
      <w:r>
        <w:rPr>
          <w:rFonts w:hint="eastAsia"/>
          <w:lang w:val="en-US"/>
        </w:rPr>
        <w:t xml:space="preserve"> performance.</w:t>
      </w:r>
    </w:p>
    <w:p>
      <w:pPr>
        <w:pStyle w:val="2"/>
        <w:spacing w:beforeLines="50"/>
        <w:rPr>
          <w:rFonts w:hint="default"/>
          <w:lang w:val="en-US" w:eastAsia="zh-CN"/>
        </w:rPr>
      </w:pPr>
      <w:r>
        <w:rPr>
          <w:rFonts w:hint="eastAsia"/>
          <w:b w:val="0"/>
          <w:bCs w:val="0"/>
          <w:lang w:val="en-US" w:eastAsia="zh-CN"/>
        </w:rPr>
        <w:t xml:space="preserve">Hence, we strongly deem that the RF impairment margin shall reuse legacy value or follow RF session decision as 2.5dB to define L1-RSRP accuracy in FR1. </w:t>
      </w:r>
    </w:p>
    <w:p>
      <w:pPr>
        <w:pStyle w:val="2"/>
        <w:spacing w:beforeLines="50"/>
        <w:rPr>
          <w:rFonts w:hint="eastAsia"/>
          <w:b/>
          <w:bCs/>
          <w:lang w:val="en-US" w:eastAsia="zh-CN"/>
        </w:rPr>
      </w:pPr>
      <w:r>
        <w:rPr>
          <w:rFonts w:hint="eastAsia"/>
          <w:b/>
          <w:bCs/>
          <w:lang w:val="en-US" w:eastAsia="zh-CN"/>
        </w:rPr>
        <w:t>Observation 4: RF session has already defined the IM margin as 2.5dB.</w:t>
      </w:r>
    </w:p>
    <w:p>
      <w:pPr>
        <w:pStyle w:val="2"/>
        <w:spacing w:beforeLines="50"/>
        <w:rPr>
          <w:rFonts w:hint="default"/>
          <w:b/>
          <w:bCs/>
          <w:lang w:val="en-US" w:eastAsia="zh-CN"/>
        </w:rPr>
      </w:pPr>
      <w:r>
        <w:rPr>
          <w:rFonts w:hint="eastAsia"/>
          <w:b/>
          <w:bCs/>
          <w:lang w:val="en-US" w:eastAsia="zh-CN"/>
        </w:rPr>
        <w:t>Observation 5: If the RF margin is large, the MAPL will be decreased and the communication coverage will be decreased. If the same coverage is ensured under different RF margin, the power consumption will be increased, which is not good to power saving neither for network nor UE.</w:t>
      </w:r>
    </w:p>
    <w:p>
      <w:pPr>
        <w:pStyle w:val="2"/>
        <w:spacing w:beforeLines="50"/>
        <w:rPr>
          <w:rFonts w:eastAsia="宋体"/>
          <w:b/>
          <w:bCs/>
          <w:color w:val="000000"/>
          <w:szCs w:val="21"/>
          <w:lang w:val="en-US"/>
        </w:rPr>
      </w:pPr>
      <w:r>
        <w:rPr>
          <w:rFonts w:hint="eastAsia"/>
          <w:b/>
          <w:bCs/>
          <w:lang w:val="en-US" w:eastAsia="zh-CN"/>
        </w:rPr>
        <w:t xml:space="preserve">Proposal 4: </w:t>
      </w:r>
      <w:r>
        <w:rPr>
          <w:rFonts w:eastAsia="宋体"/>
          <w:b/>
          <w:bCs/>
          <w:color w:val="000000"/>
          <w:szCs w:val="21"/>
          <w:lang w:val="en-US"/>
        </w:rPr>
        <w:t>Use 2.5 dB as the RF impairment margin for LP-RSRP accuracy requirements.</w:t>
      </w:r>
    </w:p>
    <w:p>
      <w:pPr>
        <w:pStyle w:val="4"/>
        <w:rPr>
          <w:rFonts w:eastAsiaTheme="minorEastAsia"/>
          <w:sz w:val="28"/>
          <w:szCs w:val="18"/>
        </w:rPr>
      </w:pPr>
      <w:r>
        <w:rPr>
          <w:rFonts w:hint="eastAsia" w:eastAsiaTheme="minorEastAsia"/>
          <w:sz w:val="28"/>
          <w:szCs w:val="18"/>
          <w:lang w:val="en-US" w:eastAsia="zh-CN"/>
        </w:rPr>
        <w:t>Maximum interruption in paging reception</w:t>
      </w:r>
    </w:p>
    <w:p>
      <w:pPr>
        <w:pStyle w:val="2"/>
        <w:spacing w:beforeLines="50"/>
        <w:rPr>
          <w:rFonts w:hint="eastAsia" w:eastAsia="宋体"/>
          <w:b w:val="0"/>
          <w:bCs w:val="0"/>
          <w:color w:val="000000"/>
          <w:szCs w:val="21"/>
          <w:lang w:val="en-US" w:eastAsia="zh-CN"/>
        </w:rPr>
      </w:pPr>
      <w:r>
        <w:rPr>
          <w:rFonts w:hint="eastAsia" w:eastAsia="宋体"/>
          <w:b w:val="0"/>
          <w:bCs w:val="0"/>
          <w:color w:val="000000"/>
          <w:szCs w:val="21"/>
          <w:lang w:val="en-US" w:eastAsia="zh-CN"/>
        </w:rPr>
        <w:t>For maximum interruption in paging reception, all companies deem that this requirements shall be reused. However, there is no discussion on it, so we just would like to clarify the requirements shall be reused in LP-WUS.</w:t>
      </w:r>
    </w:p>
    <w:p>
      <w:pPr>
        <w:pStyle w:val="2"/>
        <w:spacing w:beforeLines="50"/>
        <w:rPr>
          <w:rFonts w:hint="default" w:eastAsia="宋体"/>
          <w:b/>
          <w:bCs/>
          <w:color w:val="000000"/>
          <w:szCs w:val="21"/>
          <w:lang w:val="en-US"/>
        </w:rPr>
      </w:pPr>
      <w:r>
        <w:rPr>
          <w:rFonts w:hint="eastAsia" w:eastAsia="宋体"/>
          <w:b/>
          <w:bCs/>
          <w:color w:val="000000"/>
          <w:szCs w:val="21"/>
          <w:lang w:val="en-US" w:eastAsia="zh-CN"/>
        </w:rPr>
        <w:t>Proposal 5: The m</w:t>
      </w:r>
      <w:r>
        <w:rPr>
          <w:rFonts w:hint="eastAsia" w:eastAsia="宋体"/>
          <w:b/>
          <w:bCs/>
          <w:color w:val="000000"/>
          <w:szCs w:val="21"/>
          <w:lang w:val="en-US"/>
        </w:rPr>
        <w:t>aximum interruption in paging reception</w:t>
      </w:r>
      <w:r>
        <w:rPr>
          <w:rFonts w:hint="eastAsia" w:eastAsia="宋体"/>
          <w:b/>
          <w:bCs/>
          <w:color w:val="000000"/>
          <w:szCs w:val="21"/>
          <w:lang w:val="en-US" w:eastAsia="zh-CN"/>
        </w:rPr>
        <w:t xml:space="preserve"> requirements shall be reused in LP-WUS.</w:t>
      </w:r>
    </w:p>
    <w:p>
      <w:pPr>
        <w:pStyle w:val="4"/>
        <w:rPr>
          <w:rFonts w:eastAsiaTheme="minorEastAsia"/>
          <w:sz w:val="28"/>
          <w:szCs w:val="18"/>
        </w:rPr>
      </w:pPr>
      <w:r>
        <w:rPr>
          <w:rFonts w:hint="eastAsia" w:eastAsiaTheme="minorEastAsia"/>
          <w:sz w:val="28"/>
          <w:szCs w:val="18"/>
          <w:lang w:val="en-US" w:eastAsia="zh-CN"/>
        </w:rPr>
        <w:t>RedCap related</w:t>
      </w:r>
    </w:p>
    <w:p>
      <w:pPr>
        <w:pStyle w:val="2"/>
        <w:spacing w:beforeLines="50"/>
        <w:rPr>
          <w:rFonts w:hint="eastAsia"/>
          <w:b w:val="0"/>
          <w:bCs w:val="0"/>
          <w:lang w:val="en-US" w:eastAsia="zh-CN"/>
        </w:rPr>
      </w:pPr>
      <w:r>
        <w:rPr>
          <w:rFonts w:hint="eastAsia"/>
          <w:b w:val="0"/>
          <w:bCs w:val="0"/>
          <w:lang w:val="en-US" w:eastAsia="zh-CN"/>
        </w:rPr>
        <w:t xml:space="preserve">In previous meetings, several companies mentioned that RAN4 shall also consider the RedCap UEs with LP-WUR measurement. We agree with this feature since RAN1 has already studied the normal UE and RedCap UE with LP-WUR, and we do not see any issues to combine with them. </w:t>
      </w:r>
    </w:p>
    <w:p>
      <w:pPr>
        <w:pStyle w:val="2"/>
        <w:spacing w:beforeLines="50"/>
        <w:rPr>
          <w:rFonts w:hint="default"/>
          <w:b w:val="0"/>
          <w:bCs w:val="0"/>
          <w:lang w:val="en-US" w:eastAsia="zh-CN"/>
        </w:rPr>
      </w:pPr>
      <w:r>
        <w:rPr>
          <w:rFonts w:hint="eastAsia"/>
          <w:b w:val="0"/>
          <w:bCs w:val="0"/>
          <w:lang w:val="en-US" w:eastAsia="zh-CN"/>
        </w:rPr>
        <w:t>The next step is how to define the related requirements for RedCap UEs with LP-WUR. To our understanding, we shall divide into five parts:</w:t>
      </w:r>
    </w:p>
    <w:p>
      <w:pPr>
        <w:pStyle w:val="2"/>
        <w:numPr>
          <w:ilvl w:val="0"/>
          <w:numId w:val="13"/>
        </w:numPr>
        <w:spacing w:beforeLines="50"/>
        <w:rPr>
          <w:rFonts w:hint="eastAsia"/>
          <w:b w:val="0"/>
          <w:bCs w:val="0"/>
          <w:lang w:val="en-US" w:eastAsia="zh-CN"/>
        </w:rPr>
      </w:pPr>
      <w:r>
        <w:rPr>
          <w:rFonts w:hint="eastAsia"/>
          <w:b w:val="0"/>
          <w:bCs w:val="0"/>
          <w:lang w:val="en-US" w:eastAsia="zh-CN"/>
        </w:rPr>
        <w:t>2Rx RedCap UE with MR;</w:t>
      </w:r>
    </w:p>
    <w:p>
      <w:pPr>
        <w:pStyle w:val="2"/>
        <w:numPr>
          <w:ilvl w:val="0"/>
          <w:numId w:val="13"/>
        </w:numPr>
        <w:spacing w:beforeLines="50"/>
        <w:rPr>
          <w:rFonts w:hint="eastAsia"/>
          <w:b w:val="0"/>
          <w:bCs w:val="0"/>
          <w:lang w:val="en-US" w:eastAsia="zh-CN"/>
        </w:rPr>
      </w:pPr>
      <w:r>
        <w:rPr>
          <w:rFonts w:hint="eastAsia"/>
          <w:b w:val="0"/>
          <w:bCs w:val="0"/>
          <w:lang w:val="en-US" w:eastAsia="zh-CN"/>
        </w:rPr>
        <w:t>1Rx RedCap UE with MR;</w:t>
      </w:r>
    </w:p>
    <w:p>
      <w:pPr>
        <w:pStyle w:val="2"/>
        <w:numPr>
          <w:ilvl w:val="0"/>
          <w:numId w:val="13"/>
        </w:numPr>
        <w:spacing w:beforeLines="50"/>
        <w:rPr>
          <w:rFonts w:hint="eastAsia"/>
          <w:b w:val="0"/>
          <w:bCs w:val="0"/>
          <w:lang w:val="en-US" w:eastAsia="zh-CN"/>
        </w:rPr>
      </w:pPr>
      <w:r>
        <w:rPr>
          <w:rFonts w:hint="eastAsia"/>
          <w:b w:val="0"/>
          <w:bCs w:val="0"/>
          <w:lang w:val="en-US" w:eastAsia="zh-CN"/>
        </w:rPr>
        <w:t>1Rx RedCap UE with LR;</w:t>
      </w:r>
    </w:p>
    <w:p>
      <w:pPr>
        <w:pStyle w:val="2"/>
        <w:numPr>
          <w:ilvl w:val="0"/>
          <w:numId w:val="13"/>
        </w:numPr>
        <w:spacing w:beforeLines="50"/>
        <w:rPr>
          <w:rFonts w:hint="eastAsia"/>
          <w:b w:val="0"/>
          <w:bCs w:val="0"/>
          <w:lang w:val="en-US" w:eastAsia="zh-CN"/>
        </w:rPr>
      </w:pPr>
      <w:r>
        <w:rPr>
          <w:rFonts w:hint="eastAsia"/>
          <w:b w:val="0"/>
          <w:bCs w:val="0"/>
          <w:lang w:val="en-US" w:eastAsia="zh-CN"/>
        </w:rPr>
        <w:t>HD-FDD RedCap UE with MR;</w:t>
      </w:r>
    </w:p>
    <w:p>
      <w:pPr>
        <w:pStyle w:val="2"/>
        <w:numPr>
          <w:ilvl w:val="0"/>
          <w:numId w:val="13"/>
        </w:numPr>
        <w:spacing w:beforeLines="50"/>
        <w:rPr>
          <w:rFonts w:hint="eastAsia"/>
          <w:b w:val="0"/>
          <w:bCs w:val="0"/>
          <w:lang w:val="en-US" w:eastAsia="zh-CN"/>
        </w:rPr>
      </w:pPr>
      <w:r>
        <w:rPr>
          <w:rFonts w:hint="eastAsia"/>
          <w:b w:val="0"/>
          <w:bCs w:val="0"/>
          <w:lang w:val="en-US" w:eastAsia="zh-CN"/>
        </w:rPr>
        <w:t>HD-FDD RedCap UE with LR.</w:t>
      </w:r>
    </w:p>
    <w:p>
      <w:pPr>
        <w:pStyle w:val="2"/>
        <w:numPr>
          <w:ilvl w:val="-1"/>
          <w:numId w:val="0"/>
        </w:numPr>
        <w:spacing w:beforeLines="50"/>
        <w:rPr>
          <w:rFonts w:hint="default"/>
          <w:b w:val="0"/>
          <w:bCs w:val="0"/>
          <w:lang w:val="en-US" w:eastAsia="zh-CN"/>
        </w:rPr>
      </w:pPr>
      <w:r>
        <w:rPr>
          <w:rFonts w:hint="eastAsia"/>
          <w:b w:val="0"/>
          <w:bCs w:val="0"/>
          <w:lang w:val="en-US" w:eastAsia="zh-CN"/>
        </w:rPr>
        <w:t>Subsequently, we would like to provide our initial views on above six parts.</w:t>
      </w:r>
    </w:p>
    <w:p>
      <w:pPr>
        <w:pStyle w:val="2"/>
        <w:numPr>
          <w:ilvl w:val="-1"/>
          <w:numId w:val="0"/>
        </w:numPr>
        <w:spacing w:beforeLines="50"/>
        <w:rPr>
          <w:rFonts w:hint="eastAsia"/>
          <w:b w:val="0"/>
          <w:bCs w:val="0"/>
          <w:lang w:val="en-US" w:eastAsia="zh-CN"/>
        </w:rPr>
      </w:pPr>
      <w:r>
        <w:rPr>
          <w:rFonts w:hint="eastAsia"/>
          <w:b w:val="0"/>
          <w:bCs w:val="0"/>
          <w:lang w:val="en-US" w:eastAsia="zh-CN"/>
        </w:rPr>
        <w:t>1. 2Rx RedCap UE with MR:</w:t>
      </w:r>
    </w:p>
    <w:p>
      <w:pPr>
        <w:pStyle w:val="2"/>
        <w:spacing w:beforeLines="50"/>
        <w:ind w:leftChars="100"/>
        <w:rPr>
          <w:rFonts w:hint="default"/>
          <w:b w:val="0"/>
          <w:bCs w:val="0"/>
          <w:lang w:val="en-US" w:eastAsia="zh-CN"/>
        </w:rPr>
      </w:pPr>
      <w:r>
        <w:rPr>
          <w:rFonts w:hint="eastAsia"/>
          <w:b w:val="0"/>
          <w:bCs w:val="0"/>
          <w:lang w:val="en-US" w:eastAsia="zh-CN"/>
        </w:rPr>
        <w:t>Actually, the requirements for normal UE and 2Rx RedCap UE with MR are same in legacy definition. To follow the same manner, the requirements defined for like MR RRM relaxation, evaluation requirements etc will be reused for 2Rx RedCap UEs. The MR wake up delay requirements (the number of SSB) could also be reused.</w:t>
      </w:r>
    </w:p>
    <w:p>
      <w:pPr>
        <w:pStyle w:val="2"/>
        <w:numPr>
          <w:ilvl w:val="0"/>
          <w:numId w:val="0"/>
        </w:numPr>
        <w:spacing w:beforeLines="50"/>
        <w:rPr>
          <w:rFonts w:hint="default"/>
          <w:b w:val="0"/>
          <w:bCs w:val="0"/>
          <w:lang w:val="en-US" w:eastAsia="zh-CN"/>
        </w:rPr>
      </w:pPr>
      <w:r>
        <w:rPr>
          <w:rFonts w:hint="eastAsia"/>
          <w:b w:val="0"/>
          <w:bCs w:val="0"/>
          <w:lang w:val="en-US" w:eastAsia="zh-CN"/>
        </w:rPr>
        <w:t>2.1Rx RedCap UE with MR:</w:t>
      </w:r>
    </w:p>
    <w:p>
      <w:pPr>
        <w:pStyle w:val="2"/>
        <w:numPr>
          <w:ilvl w:val="1"/>
          <w:numId w:val="0"/>
        </w:numPr>
        <w:spacing w:beforeLines="50"/>
        <w:ind w:leftChars="100"/>
        <w:rPr>
          <w:rFonts w:hint="eastAsia"/>
          <w:b w:val="0"/>
          <w:bCs w:val="0"/>
          <w:lang w:val="en-US" w:eastAsia="zh-CN"/>
        </w:rPr>
      </w:pPr>
      <w:r>
        <w:rPr>
          <w:rFonts w:hint="eastAsia"/>
          <w:b w:val="0"/>
          <w:bCs w:val="0"/>
          <w:lang w:val="en-US" w:eastAsia="zh-CN"/>
        </w:rPr>
        <w:t xml:space="preserve">For 1Rx RedCap UE, the requirements are the same as normal UE with specific side conditions, such as </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Autospacing="0"/>
              <w:ind w:left="200" w:leftChars="100" w:right="0"/>
              <w:rPr>
                <w:rFonts w:hint="default"/>
                <w:sz w:val="16"/>
                <w:szCs w:val="20"/>
              </w:rPr>
            </w:pPr>
            <w:r>
              <w:rPr>
                <w:rFonts w:hint="default"/>
                <w:sz w:val="16"/>
                <w:szCs w:val="20"/>
              </w:rPr>
              <w:t>4.2B.2.3</w:t>
            </w:r>
            <w:r>
              <w:rPr>
                <w:rFonts w:hint="default"/>
                <w:sz w:val="16"/>
                <w:szCs w:val="20"/>
              </w:rPr>
              <w:tab/>
            </w:r>
            <w:r>
              <w:rPr>
                <w:rFonts w:hint="default"/>
                <w:sz w:val="16"/>
                <w:szCs w:val="20"/>
              </w:rPr>
              <w:t>Measurements of intra-frequency NR cells for RedCap UE</w:t>
            </w:r>
          </w:p>
          <w:p>
            <w:pPr>
              <w:keepNext w:val="0"/>
              <w:keepLines w:val="0"/>
              <w:widowControl/>
              <w:suppressLineNumbers w:val="0"/>
              <w:spacing w:before="0" w:beforeAutospacing="0" w:afterAutospacing="0"/>
              <w:ind w:left="200" w:leftChars="100" w:right="0" w:firstLine="0"/>
              <w:rPr>
                <w:rFonts w:hint="default"/>
                <w:sz w:val="16"/>
                <w:szCs w:val="20"/>
              </w:rPr>
            </w:pPr>
            <w:r>
              <w:rPr>
                <w:rFonts w:hint="default"/>
                <w:sz w:val="16"/>
                <w:szCs w:val="20"/>
              </w:rPr>
              <w:t xml:space="preserve">when </w:t>
            </w:r>
            <w:r>
              <w:rPr>
                <w:rFonts w:hint="default"/>
                <w:i/>
                <w:sz w:val="16"/>
                <w:szCs w:val="20"/>
              </w:rPr>
              <w:t>rangeToBestCell</w:t>
            </w:r>
            <w:r>
              <w:rPr>
                <w:rFonts w:hint="default"/>
                <w:sz w:val="16"/>
                <w:szCs w:val="20"/>
              </w:rPr>
              <w:t xml:space="preserve"> is not configured:</w:t>
            </w:r>
          </w:p>
          <w:p>
            <w:pPr>
              <w:keepNext w:val="0"/>
              <w:keepLines w:val="0"/>
              <w:widowControl/>
              <w:suppressLineNumbers w:val="0"/>
              <w:spacing w:before="0" w:beforeAutospacing="0" w:afterAutospacing="0"/>
              <w:ind w:left="200" w:leftChars="100" w:right="0"/>
              <w:rPr>
                <w:rFonts w:hint="default"/>
                <w:sz w:val="16"/>
                <w:szCs w:val="20"/>
              </w:rPr>
            </w:pPr>
            <w:r>
              <w:rPr>
                <w:rFonts w:hint="default"/>
                <w:sz w:val="16"/>
                <w:szCs w:val="20"/>
              </w:rPr>
              <w:t>-</w:t>
            </w:r>
            <w:r>
              <w:rPr>
                <w:rFonts w:hint="default"/>
                <w:sz w:val="16"/>
                <w:szCs w:val="20"/>
              </w:rPr>
              <w:tab/>
            </w:r>
            <w:r>
              <w:rPr>
                <w:rFonts w:hint="default"/>
                <w:sz w:val="16"/>
                <w:szCs w:val="20"/>
              </w:rPr>
              <w:t>the cell is at least 3 dB better ranked in FR1 or 4.5 dB better ranked in FR2 for 2 Rx RedCap.</w:t>
            </w:r>
          </w:p>
          <w:p>
            <w:pPr>
              <w:keepNext w:val="0"/>
              <w:keepLines w:val="0"/>
              <w:widowControl/>
              <w:suppressLineNumbers w:val="0"/>
              <w:spacing w:before="0" w:beforeAutospacing="0" w:afterAutospacing="0"/>
              <w:ind w:left="200" w:leftChars="100" w:right="0"/>
              <w:rPr>
                <w:rFonts w:hint="default"/>
                <w:sz w:val="16"/>
                <w:szCs w:val="20"/>
              </w:rPr>
            </w:pPr>
            <w:r>
              <w:rPr>
                <w:rFonts w:hint="default"/>
                <w:sz w:val="16"/>
                <w:szCs w:val="20"/>
              </w:rPr>
              <w:t>-</w:t>
            </w:r>
            <w:r>
              <w:rPr>
                <w:rFonts w:hint="default"/>
                <w:sz w:val="16"/>
                <w:szCs w:val="20"/>
              </w:rPr>
              <w:tab/>
            </w:r>
            <w:r>
              <w:rPr>
                <w:rFonts w:hint="default"/>
                <w:sz w:val="16"/>
                <w:szCs w:val="20"/>
              </w:rPr>
              <w:t>the cell is at least 4 dB better ranked in FR1 for 1 Rx RedCap.</w:t>
            </w:r>
          </w:p>
          <w:p>
            <w:pPr>
              <w:keepNext w:val="0"/>
              <w:keepLines w:val="0"/>
              <w:widowControl/>
              <w:suppressLineNumbers w:val="0"/>
              <w:spacing w:before="0" w:beforeAutospacing="0" w:afterAutospacing="0"/>
              <w:ind w:left="200" w:leftChars="100" w:right="0"/>
              <w:rPr>
                <w:rFonts w:hint="default"/>
                <w:sz w:val="16"/>
                <w:szCs w:val="20"/>
              </w:rPr>
            </w:pPr>
            <w:r>
              <w:rPr>
                <w:rFonts w:hint="default"/>
                <w:sz w:val="16"/>
                <w:szCs w:val="20"/>
              </w:rPr>
              <w:t xml:space="preserve">when </w:t>
            </w:r>
            <w:r>
              <w:rPr>
                <w:rFonts w:hint="default"/>
                <w:i/>
                <w:sz w:val="16"/>
                <w:szCs w:val="20"/>
              </w:rPr>
              <w:t>rangeToBestCell</w:t>
            </w:r>
            <w:r>
              <w:rPr>
                <w:rFonts w:hint="default"/>
                <w:sz w:val="16"/>
                <w:szCs w:val="20"/>
              </w:rPr>
              <w:t xml:space="preserve"> is configured:</w:t>
            </w:r>
          </w:p>
          <w:p>
            <w:pPr>
              <w:keepNext w:val="0"/>
              <w:keepLines w:val="0"/>
              <w:widowControl/>
              <w:suppressLineNumbers w:val="0"/>
              <w:spacing w:before="0" w:beforeAutospacing="0" w:afterAutospacing="0"/>
              <w:ind w:left="200" w:leftChars="100" w:right="0"/>
              <w:rPr>
                <w:rFonts w:hint="default"/>
                <w:sz w:val="16"/>
                <w:szCs w:val="20"/>
              </w:rPr>
            </w:pPr>
            <w:r>
              <w:rPr>
                <w:rFonts w:hint="default"/>
                <w:sz w:val="16"/>
                <w:szCs w:val="20"/>
              </w:rPr>
              <w:t>-</w:t>
            </w:r>
            <w:r>
              <w:rPr>
                <w:rFonts w:hint="default"/>
                <w:sz w:val="16"/>
                <w:szCs w:val="20"/>
              </w:rPr>
              <w:tab/>
            </w:r>
            <w:r>
              <w:rPr>
                <w:rFonts w:hint="default"/>
                <w:sz w:val="16"/>
                <w:szCs w:val="20"/>
              </w:rPr>
              <w:t xml:space="preserve">the cell has the highest number of beams above the threshold </w:t>
            </w:r>
            <w:r>
              <w:rPr>
                <w:rFonts w:hint="default"/>
                <w:i/>
                <w:sz w:val="16"/>
                <w:szCs w:val="20"/>
              </w:rPr>
              <w:t>absThreshSS-BlocksConsolidation</w:t>
            </w:r>
            <w:r>
              <w:rPr>
                <w:rFonts w:hint="default"/>
                <w:sz w:val="16"/>
                <w:szCs w:val="20"/>
              </w:rPr>
              <w:t xml:space="preserve"> among all detected cells whose cell-ranking criterion R value in TS 38.304 [1] is within </w:t>
            </w:r>
            <w:r>
              <w:rPr>
                <w:rFonts w:hint="default"/>
                <w:i/>
                <w:sz w:val="16"/>
                <w:szCs w:val="20"/>
              </w:rPr>
              <w:t>rangeToBestCell</w:t>
            </w:r>
            <w:r>
              <w:rPr>
                <w:rFonts w:hint="default"/>
                <w:sz w:val="16"/>
                <w:szCs w:val="20"/>
              </w:rPr>
              <w:t xml:space="preserve"> of the cell-ranking criterion </w:t>
            </w:r>
            <w:r>
              <w:rPr>
                <w:rFonts w:hint="default" w:cs="v4.2.0"/>
                <w:sz w:val="16"/>
                <w:szCs w:val="20"/>
              </w:rPr>
              <w:t xml:space="preserve">R value </w:t>
            </w:r>
            <w:r>
              <w:rPr>
                <w:rFonts w:hint="default"/>
                <w:sz w:val="16"/>
                <w:szCs w:val="20"/>
              </w:rPr>
              <w:t>of the highest ranked cell.</w:t>
            </w:r>
            <w:r>
              <w:rPr>
                <w:rFonts w:hint="default" w:cs="v4.2.0"/>
                <w:sz w:val="16"/>
                <w:szCs w:val="20"/>
              </w:rPr>
              <w:t xml:space="preserve"> </w:t>
            </w:r>
          </w:p>
          <w:p>
            <w:pPr>
              <w:keepNext w:val="0"/>
              <w:keepLines w:val="0"/>
              <w:widowControl/>
              <w:suppressLineNumbers w:val="0"/>
              <w:spacing w:before="0" w:beforeAutospacing="0" w:afterAutospacing="0"/>
              <w:ind w:left="200" w:leftChars="100" w:right="0"/>
              <w:rPr>
                <w:rFonts w:hint="default"/>
                <w:sz w:val="16"/>
                <w:szCs w:val="20"/>
              </w:rPr>
            </w:pPr>
            <w:r>
              <w:rPr>
                <w:rFonts w:hint="default"/>
                <w:sz w:val="16"/>
                <w:szCs w:val="20"/>
              </w:rPr>
              <w:t>-</w:t>
            </w:r>
            <w:r>
              <w:rPr>
                <w:rFonts w:hint="default"/>
                <w:sz w:val="16"/>
                <w:szCs w:val="20"/>
              </w:rPr>
              <w:tab/>
            </w:r>
            <w:r>
              <w:rPr>
                <w:rFonts w:hint="default"/>
                <w:sz w:val="16"/>
                <w:szCs w:val="20"/>
              </w:rPr>
              <w:t xml:space="preserve">if there are multiple such cells, the cell has the highest rank among them. </w:t>
            </w:r>
          </w:p>
          <w:p>
            <w:pPr>
              <w:keepNext w:val="0"/>
              <w:keepLines w:val="0"/>
              <w:widowControl/>
              <w:suppressLineNumbers w:val="0"/>
              <w:spacing w:before="0" w:beforeAutospacing="0" w:afterAutospacing="0"/>
              <w:ind w:left="200" w:leftChars="100" w:right="0"/>
              <w:rPr>
                <w:rFonts w:hint="default"/>
                <w:sz w:val="16"/>
                <w:szCs w:val="20"/>
              </w:rPr>
            </w:pPr>
            <w:r>
              <w:rPr>
                <w:rFonts w:hint="default"/>
                <w:sz w:val="16"/>
                <w:szCs w:val="20"/>
              </w:rPr>
              <w:t>-</w:t>
            </w:r>
            <w:r>
              <w:rPr>
                <w:rFonts w:hint="default"/>
                <w:sz w:val="16"/>
                <w:szCs w:val="20"/>
              </w:rPr>
              <w:tab/>
            </w:r>
            <w:r>
              <w:rPr>
                <w:rFonts w:hint="default"/>
                <w:sz w:val="16"/>
                <w:szCs w:val="20"/>
              </w:rPr>
              <w:t>the cell is at least 3 dB better ranked in FR1 or 4.5 dB better ranked in FR2 if the current serving cell is among them for 2 Rx RedCap.</w:t>
            </w:r>
          </w:p>
          <w:p>
            <w:pPr>
              <w:keepNext w:val="0"/>
              <w:keepLines w:val="0"/>
              <w:widowControl/>
              <w:suppressLineNumbers w:val="0"/>
              <w:spacing w:before="0" w:beforeAutospacing="0" w:afterAutospacing="0"/>
              <w:ind w:left="200" w:leftChars="100" w:right="0"/>
              <w:rPr>
                <w:rFonts w:hint="default"/>
                <w:sz w:val="16"/>
                <w:szCs w:val="20"/>
              </w:rPr>
            </w:pPr>
            <w:r>
              <w:rPr>
                <w:rFonts w:hint="default"/>
                <w:sz w:val="16"/>
                <w:szCs w:val="20"/>
              </w:rPr>
              <w:t>-</w:t>
            </w:r>
            <w:r>
              <w:rPr>
                <w:rFonts w:hint="default"/>
                <w:sz w:val="16"/>
                <w:szCs w:val="20"/>
              </w:rPr>
              <w:tab/>
            </w:r>
            <w:r>
              <w:rPr>
                <w:rFonts w:hint="default"/>
                <w:sz w:val="16"/>
                <w:szCs w:val="20"/>
              </w:rPr>
              <w:t>the cell is at least 4 dB better ranked in FR1 if the current serving cell is among them for 1 Rx RedCap.</w:t>
            </w:r>
          </w:p>
          <w:p>
            <w:pPr>
              <w:keepNext w:val="0"/>
              <w:keepLines w:val="0"/>
              <w:widowControl/>
              <w:numPr>
                <w:ilvl w:val="1"/>
                <w:numId w:val="0"/>
              </w:numPr>
              <w:suppressLineNumbers w:val="0"/>
              <w:spacing w:before="0" w:beforeAutospacing="0" w:afterAutospacing="0"/>
              <w:ind w:left="200" w:leftChars="100" w:right="0"/>
              <w:rPr>
                <w:rFonts w:hint="default"/>
                <w:b w:val="0"/>
                <w:bCs w:val="0"/>
                <w:sz w:val="20"/>
                <w:szCs w:val="20"/>
                <w:vertAlign w:val="baseline"/>
                <w:lang w:val="en-US" w:eastAsia="zh-CN"/>
              </w:rPr>
            </w:pPr>
            <w:r>
              <w:rPr>
                <w:rFonts w:hint="default"/>
                <w:sz w:val="16"/>
                <w:szCs w:val="20"/>
                <w:lang w:eastAsia="sv-SE"/>
              </w:rPr>
              <w:t xml:space="preserve">The 1 Rx RedCap UE applies </w:t>
            </w:r>
            <w:r>
              <w:rPr>
                <w:rFonts w:hint="default"/>
                <w:i/>
                <w:sz w:val="16"/>
                <w:szCs w:val="20"/>
              </w:rPr>
              <w:t>absThreshSS-BlocksConsolidation</w:t>
            </w:r>
            <w:r>
              <w:rPr>
                <w:rFonts w:hint="default"/>
                <w:sz w:val="16"/>
                <w:szCs w:val="20"/>
                <w:lang w:eastAsia="sv-SE"/>
              </w:rPr>
              <w:t xml:space="preserve"> as the signalled value of </w:t>
            </w:r>
            <w:r>
              <w:rPr>
                <w:rFonts w:hint="default"/>
                <w:i/>
                <w:sz w:val="16"/>
                <w:szCs w:val="20"/>
              </w:rPr>
              <w:t>absThreshSS-BlocksConsolidation</w:t>
            </w:r>
            <w:r>
              <w:rPr>
                <w:rFonts w:hint="default"/>
                <w:sz w:val="16"/>
                <w:szCs w:val="20"/>
                <w:lang w:eastAsia="sv-SE"/>
              </w:rPr>
              <w:t xml:space="preserve"> [2] + 1 dB.</w:t>
            </w:r>
          </w:p>
        </w:tc>
      </w:tr>
    </w:tbl>
    <w:p>
      <w:pPr>
        <w:pStyle w:val="2"/>
        <w:numPr>
          <w:ilvl w:val="1"/>
          <w:numId w:val="0"/>
        </w:numPr>
        <w:spacing w:beforeLines="50"/>
        <w:ind w:leftChars="100"/>
        <w:rPr>
          <w:rFonts w:hint="eastAsia"/>
          <w:b w:val="0"/>
          <w:bCs w:val="0"/>
          <w:lang w:val="en-US" w:eastAsia="zh-CN"/>
        </w:rPr>
      </w:pPr>
      <w:r>
        <w:rPr>
          <w:rFonts w:hint="eastAsia"/>
          <w:b w:val="0"/>
          <w:bCs w:val="0"/>
          <w:lang w:val="en-US" w:eastAsia="zh-CN"/>
        </w:rPr>
        <w:t>Consequently, the requirements for 1Rx RedCap UE with MR is the same as 1Rx RedCap UE in legacy with specific side conditions. However, there is no MR wake up delay requirements in legacy. In the last meeting, we spent lots of time on discussion of MR wake up delay, the agreements could be seen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napToGrid w:val="0"/>
              <w:spacing w:before="0" w:beforeAutospacing="0" w:after="120" w:afterAutospacing="0"/>
              <w:ind w:left="200" w:leftChars="100" w:right="0"/>
              <w:rPr>
                <w:rFonts w:hint="default"/>
                <w:sz w:val="22"/>
                <w:szCs w:val="22"/>
                <w:lang w:eastAsia="zh-CN"/>
              </w:rPr>
            </w:pPr>
            <w:r>
              <w:rPr>
                <w:rFonts w:hint="default"/>
                <w:sz w:val="22"/>
                <w:szCs w:val="22"/>
                <w:lang w:eastAsia="zh-CN"/>
              </w:rPr>
              <w:t>Agreement:</w:t>
            </w:r>
          </w:p>
          <w:p>
            <w:pPr>
              <w:keepNext w:val="0"/>
              <w:keepLines w:val="0"/>
              <w:widowControl/>
              <w:suppressLineNumbers w:val="0"/>
              <w:snapToGrid w:val="0"/>
              <w:spacing w:before="0" w:beforeAutospacing="0" w:after="120" w:afterAutospacing="0"/>
              <w:ind w:left="200" w:leftChars="100" w:right="0"/>
              <w:rPr>
                <w:rFonts w:hint="default"/>
                <w:sz w:val="22"/>
                <w:szCs w:val="22"/>
                <w:lang w:eastAsia="zh-CN"/>
              </w:rPr>
            </w:pPr>
            <w:r>
              <w:rPr>
                <w:rFonts w:hint="default"/>
                <w:sz w:val="22"/>
                <w:szCs w:val="22"/>
                <w:lang w:eastAsia="zh-CN"/>
              </w:rPr>
              <w:t>For the 400ms and 800ms ramping up time</w:t>
            </w:r>
            <w:r>
              <w:rPr>
                <w:rFonts w:hint="eastAsia"/>
                <w:sz w:val="22"/>
                <w:szCs w:val="22"/>
                <w:lang w:eastAsia="zh-CN"/>
              </w:rPr>
              <w:t>:</w:t>
            </w:r>
            <w:r>
              <w:rPr>
                <w:rFonts w:hint="default"/>
                <w:sz w:val="22"/>
                <w:szCs w:val="22"/>
                <w:lang w:eastAsia="zh-CN"/>
              </w:rPr>
              <w:t xml:space="preserve"> {5, 5} samples</w:t>
            </w:r>
          </w:p>
          <w:p>
            <w:pPr>
              <w:keepNext w:val="0"/>
              <w:keepLines w:val="0"/>
              <w:widowControl/>
              <w:numPr>
                <w:ilvl w:val="1"/>
                <w:numId w:val="0"/>
              </w:numPr>
              <w:suppressLineNumbers w:val="0"/>
              <w:snapToGrid w:val="0"/>
              <w:spacing w:before="0" w:beforeAutospacing="0" w:afterAutospacing="0"/>
              <w:ind w:left="200" w:leftChars="100" w:right="0"/>
              <w:rPr>
                <w:rFonts w:hint="default"/>
                <w:b w:val="0"/>
                <w:bCs w:val="0"/>
                <w:sz w:val="20"/>
                <w:szCs w:val="20"/>
                <w:vertAlign w:val="baseline"/>
                <w:lang w:val="en-US" w:eastAsia="zh-CN"/>
              </w:rPr>
            </w:pPr>
            <w:r>
              <w:rPr>
                <w:rFonts w:hint="default"/>
                <w:sz w:val="22"/>
                <w:szCs w:val="22"/>
                <w:lang w:eastAsia="zh-CN"/>
              </w:rPr>
              <w:t>For the 10ms ramping up time: 3 samples</w:t>
            </w:r>
          </w:p>
        </w:tc>
      </w:tr>
    </w:tbl>
    <w:p>
      <w:pPr>
        <w:pStyle w:val="2"/>
        <w:numPr>
          <w:ilvl w:val="1"/>
          <w:numId w:val="0"/>
        </w:numPr>
        <w:spacing w:beforeLines="50"/>
        <w:ind w:leftChars="100"/>
        <w:rPr>
          <w:rFonts w:hint="default"/>
          <w:b w:val="0"/>
          <w:bCs w:val="0"/>
          <w:lang w:val="en-US" w:eastAsia="zh-CN"/>
        </w:rPr>
      </w:pPr>
      <w:r>
        <w:rPr>
          <w:rFonts w:hint="eastAsia"/>
          <w:b w:val="0"/>
          <w:bCs w:val="0"/>
          <w:lang w:val="en-US" w:eastAsia="zh-CN"/>
        </w:rPr>
        <w:t>The same manner shall be followed, that is, the same number of SSB can be reused for 1RedCap UE with LR. RAN4 shall consider how to define the side conditions.</w:t>
      </w:r>
    </w:p>
    <w:p>
      <w:pPr>
        <w:pStyle w:val="2"/>
        <w:numPr>
          <w:ilvl w:val="0"/>
          <w:numId w:val="8"/>
        </w:numPr>
        <w:spacing w:beforeLines="50"/>
        <w:rPr>
          <w:rFonts w:hint="default"/>
          <w:b w:val="0"/>
          <w:bCs w:val="0"/>
          <w:lang w:val="en-US" w:eastAsia="zh-CN"/>
        </w:rPr>
      </w:pPr>
      <w:r>
        <w:rPr>
          <w:rFonts w:hint="eastAsia"/>
          <w:b w:val="0"/>
          <w:bCs w:val="0"/>
          <w:lang w:val="en-US" w:eastAsia="zh-CN"/>
        </w:rPr>
        <w:t>1Rx RedCap UE with LR:</w:t>
      </w:r>
    </w:p>
    <w:p>
      <w:pPr>
        <w:pStyle w:val="2"/>
        <w:numPr>
          <w:ilvl w:val="1"/>
          <w:numId w:val="0"/>
        </w:numPr>
        <w:spacing w:beforeLines="50"/>
        <w:ind w:leftChars="100"/>
        <w:rPr>
          <w:rFonts w:hint="eastAsia"/>
          <w:b w:val="0"/>
          <w:bCs w:val="0"/>
          <w:lang w:val="en-US" w:eastAsia="zh-CN"/>
        </w:rPr>
      </w:pPr>
      <w:r>
        <w:rPr>
          <w:rFonts w:hint="eastAsia"/>
          <w:b w:val="0"/>
          <w:bCs w:val="0"/>
          <w:lang w:val="en-US" w:eastAsia="zh-CN"/>
        </w:rPr>
        <w:t>One agreement agreed in RAN4 #112bis meeting could be seen as follows:</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val="0"/>
              <w:suppressLineNumbers w:val="0"/>
              <w:snapToGrid w:val="0"/>
              <w:spacing w:before="0" w:beforeAutospacing="0" w:afterAutospacing="0"/>
              <w:ind w:left="200" w:leftChars="100" w:right="0"/>
              <w:jc w:val="both"/>
              <w:rPr>
                <w:rFonts w:hint="default"/>
                <w:sz w:val="21"/>
                <w:szCs w:val="21"/>
                <w:lang w:val="en-US" w:eastAsia="ko"/>
              </w:rPr>
            </w:pPr>
            <w:r>
              <w:rPr>
                <w:rFonts w:hint="default"/>
                <w:sz w:val="21"/>
                <w:szCs w:val="21"/>
                <w:lang w:val="en-US" w:eastAsia="ko"/>
              </w:rPr>
              <w:t>Issue 1-2-5: Nubmer of Rx for LP-WUR requirements</w:t>
            </w:r>
          </w:p>
          <w:p>
            <w:pPr>
              <w:keepNext w:val="0"/>
              <w:keepLines w:val="0"/>
              <w:widowControl w:val="0"/>
              <w:suppressLineNumbers w:val="0"/>
              <w:snapToGrid w:val="0"/>
              <w:spacing w:before="0" w:beforeAutospacing="0" w:after="120" w:afterAutospacing="0"/>
              <w:ind w:left="200" w:leftChars="100" w:right="0"/>
              <w:jc w:val="both"/>
              <w:rPr>
                <w:rFonts w:hint="default"/>
                <w:sz w:val="20"/>
                <w:szCs w:val="21"/>
                <w:highlight w:val="green"/>
                <w:lang w:val="en-US" w:eastAsia="ko"/>
              </w:rPr>
            </w:pPr>
            <w:r>
              <w:rPr>
                <w:rFonts w:hint="default" w:ascii="Times New Roman" w:hAnsi="Times New Roman" w:eastAsia="宋体" w:cs="Times New Roman"/>
                <w:kern w:val="2"/>
                <w:sz w:val="21"/>
                <w:szCs w:val="21"/>
                <w:highlight w:val="green"/>
                <w:lang w:val="en-US" w:eastAsia="ko" w:bidi="ar"/>
              </w:rPr>
              <w:t>Agreement</w:t>
            </w:r>
          </w:p>
          <w:p>
            <w:pPr>
              <w:keepNext w:val="0"/>
              <w:keepLines w:val="0"/>
              <w:widowControl w:val="0"/>
              <w:numPr>
                <w:ilvl w:val="1"/>
                <w:numId w:val="0"/>
              </w:numPr>
              <w:suppressLineNumbers w:val="0"/>
              <w:snapToGrid w:val="0"/>
              <w:spacing w:before="0" w:beforeAutospacing="0" w:afterAutospacing="0"/>
              <w:ind w:left="200" w:leftChars="100" w:right="0"/>
              <w:rPr>
                <w:rFonts w:hint="default"/>
                <w:b w:val="0"/>
                <w:bCs w:val="0"/>
                <w:sz w:val="20"/>
                <w:szCs w:val="20"/>
                <w:vertAlign w:val="baseline"/>
                <w:lang w:val="en-US" w:eastAsia="zh-CN"/>
              </w:rPr>
            </w:pPr>
            <w:r>
              <w:rPr>
                <w:rFonts w:hint="default" w:ascii="Times New Roman" w:hAnsi="Times New Roman" w:eastAsia="宋体" w:cs="Times New Roman"/>
                <w:kern w:val="2"/>
                <w:sz w:val="21"/>
                <w:szCs w:val="21"/>
                <w:highlight w:val="green"/>
                <w:lang w:val="en-US" w:eastAsia="ko" w:bidi="ar"/>
              </w:rPr>
              <w:t>Single Rx is the baseline for LR-WUR RRM measurement.</w:t>
            </w:r>
          </w:p>
        </w:tc>
      </w:tr>
    </w:tbl>
    <w:p>
      <w:pPr>
        <w:pStyle w:val="2"/>
        <w:numPr>
          <w:ilvl w:val="1"/>
          <w:numId w:val="0"/>
        </w:numPr>
        <w:spacing w:beforeLines="50"/>
        <w:ind w:leftChars="100"/>
        <w:rPr>
          <w:rFonts w:hint="eastAsia" w:cs="Times New Roman"/>
          <w:bCs w:val="0"/>
          <w:iCs w:val="0"/>
          <w:kern w:val="0"/>
          <w:sz w:val="20"/>
          <w:szCs w:val="20"/>
          <w:lang w:val="en-US" w:eastAsia="zh-CN" w:bidi="ar"/>
        </w:rPr>
      </w:pPr>
      <w:r>
        <w:rPr>
          <w:rFonts w:hint="eastAsia"/>
          <w:b w:val="0"/>
          <w:bCs w:val="0"/>
          <w:lang w:val="en-US" w:eastAsia="zh-CN"/>
        </w:rPr>
        <w:t xml:space="preserve">During the discussion, we think </w:t>
      </w:r>
      <w:r>
        <w:rPr>
          <w:rFonts w:hint="eastAsia" w:ascii="Times New Roman" w:hAnsi="Times New Roman" w:eastAsia="Times New Roman" w:cs="Times New Roman"/>
          <w:bCs w:val="0"/>
          <w:iCs w:val="0"/>
          <w:kern w:val="0"/>
          <w:sz w:val="20"/>
          <w:szCs w:val="20"/>
          <w:lang w:val="en-US" w:eastAsia="zh-CN" w:bidi="ar"/>
        </w:rPr>
        <w:t>LP-WUR is a quite low power-consumption and low-cost component on the UE, and it shall be assumed as single Rx as a more typical case for requirement design.</w:t>
      </w:r>
      <w:r>
        <w:rPr>
          <w:rFonts w:hint="eastAsia" w:cs="Times New Roman"/>
          <w:bCs w:val="0"/>
          <w:iCs w:val="0"/>
          <w:kern w:val="0"/>
          <w:sz w:val="20"/>
          <w:szCs w:val="20"/>
          <w:lang w:val="en-US" w:eastAsia="zh-CN" w:bidi="ar"/>
        </w:rPr>
        <w:t xml:space="preserve"> The final agreement above says the 1Rx is the baseline for LP-WUR RRM measurement. Consequently, we believe that the requirements for normal UE with LR could be reused for 1Rx RedCap UE with LR.</w:t>
      </w:r>
    </w:p>
    <w:p>
      <w:pPr>
        <w:pStyle w:val="2"/>
        <w:numPr>
          <w:ilvl w:val="0"/>
          <w:numId w:val="8"/>
        </w:numPr>
        <w:spacing w:beforeLines="50"/>
        <w:rPr>
          <w:rFonts w:hint="default" w:cs="Times New Roman"/>
          <w:bCs w:val="0"/>
          <w:iCs w:val="0"/>
          <w:kern w:val="0"/>
          <w:sz w:val="20"/>
          <w:szCs w:val="20"/>
          <w:lang w:val="en-US" w:eastAsia="zh-CN" w:bidi="ar"/>
        </w:rPr>
      </w:pPr>
      <w:r>
        <w:rPr>
          <w:rFonts w:hint="eastAsia"/>
          <w:b w:val="0"/>
          <w:bCs w:val="0"/>
          <w:lang w:val="en-US" w:eastAsia="zh-CN"/>
        </w:rPr>
        <w:t>HD-FDD RedCap UE with MR</w:t>
      </w:r>
    </w:p>
    <w:p>
      <w:pPr>
        <w:pStyle w:val="2"/>
        <w:numPr>
          <w:ilvl w:val="1"/>
          <w:numId w:val="0"/>
        </w:numPr>
        <w:spacing w:beforeLines="50"/>
        <w:ind w:leftChars="100"/>
        <w:rPr>
          <w:rFonts w:hint="eastAsia" w:cs="Times New Roman"/>
          <w:bCs w:val="0"/>
          <w:iCs w:val="0"/>
          <w:kern w:val="0"/>
          <w:sz w:val="20"/>
          <w:szCs w:val="20"/>
          <w:lang w:val="en-US" w:eastAsia="zh-CN" w:bidi="ar"/>
        </w:rPr>
      </w:pPr>
      <w:r>
        <w:rPr>
          <w:rFonts w:hint="eastAsia" w:cs="Times New Roman"/>
          <w:bCs w:val="0"/>
          <w:iCs w:val="0"/>
          <w:kern w:val="0"/>
          <w:sz w:val="20"/>
          <w:szCs w:val="20"/>
          <w:lang w:val="en-US" w:eastAsia="zh-CN" w:bidi="ar"/>
        </w:rPr>
        <w:t>For LP-WUS topic, RAN4 only study the RRM requirements for RRC IDLE/INACTIVE state based on the latest WID. Thus, we shall only consider requirements for the HD-FDD RedCap UE with MR, which is maximum interruption in paging reception for RedCap. In current spec, one description is following:</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pStyle w:val="30"/>
              <w:keepNext w:val="0"/>
              <w:keepLines w:val="0"/>
              <w:widowControl/>
              <w:suppressLineNumbers w:val="0"/>
              <w:overflowPunct w:val="0"/>
              <w:autoSpaceDE w:val="0"/>
              <w:autoSpaceDN w:val="0"/>
              <w:adjustRightInd w:val="0"/>
              <w:spacing w:before="0" w:beforeAutospacing="0" w:afterAutospacing="0"/>
              <w:ind w:left="484" w:leftChars="100" w:right="0" w:hanging="284"/>
              <w:rPr>
                <w:rFonts w:hint="default"/>
                <w:szCs w:val="20"/>
                <w:lang w:val="en-US"/>
              </w:rPr>
            </w:pPr>
            <w:r>
              <w:rPr>
                <w:rFonts w:hint="default"/>
                <w:szCs w:val="20"/>
                <w:lang w:val="en-US"/>
              </w:rPr>
              <w:t>4.2B.2.6</w:t>
            </w:r>
            <w:r>
              <w:rPr>
                <w:rFonts w:hint="default"/>
                <w:szCs w:val="20"/>
                <w:lang w:val="en-US"/>
              </w:rPr>
              <w:tab/>
            </w:r>
            <w:r>
              <w:rPr>
                <w:rFonts w:hint="default"/>
                <w:szCs w:val="20"/>
                <w:lang w:val="en-US"/>
              </w:rPr>
              <w:t>Maximum interruption in paging reception for RedCap</w:t>
            </w:r>
          </w:p>
          <w:p>
            <w:pPr>
              <w:pStyle w:val="30"/>
              <w:keepNext w:val="0"/>
              <w:keepLines w:val="0"/>
              <w:widowControl/>
              <w:suppressLineNumbers w:val="0"/>
              <w:spacing w:before="0" w:beforeAutospacing="0" w:afterAutospacing="0"/>
              <w:ind w:left="484" w:leftChars="100" w:right="0" w:hanging="284"/>
              <w:rPr>
                <w:rFonts w:hint="default"/>
                <w:szCs w:val="20"/>
                <w:lang w:val="en-US" w:eastAsia="zh-CN"/>
              </w:rPr>
            </w:pPr>
            <w:r>
              <w:rPr>
                <w:rFonts w:hint="default" w:ascii="Times New Roman" w:hAnsi="Times New Roman" w:eastAsia="Times New Roman" w:cs="Times New Roman"/>
                <w:kern w:val="0"/>
                <w:sz w:val="20"/>
                <w:szCs w:val="20"/>
                <w:lang w:val="en-US" w:eastAsia="zh-CN" w:bidi="ar"/>
              </w:rPr>
              <w:t xml:space="preserve">The FDD, HD-FDD and TDD RedCap UE shall meet all applicable requirements specified in clause 4.2.2.6. In addition, </w:t>
            </w:r>
            <w:r>
              <w:rPr>
                <w:rFonts w:hint="default" w:ascii="Times New Roman" w:hAnsi="Times New Roman" w:eastAsia="Times New Roman" w:cs="Times New Roman"/>
                <w:snapToGrid w:val="0"/>
                <w:kern w:val="0"/>
                <w:sz w:val="20"/>
                <w:szCs w:val="20"/>
                <w:lang w:val="en-US" w:eastAsia="zh-CN" w:bidi="ar"/>
              </w:rPr>
              <w:t>when the UE is configured with eDRX_IDLE cycle, the UE shall not miss any paging in a PTW provided the paging is sent in at least 2 DRX cycles before the end of that PTW.</w:t>
            </w:r>
          </w:p>
          <w:p>
            <w:pPr>
              <w:pStyle w:val="30"/>
              <w:keepNext w:val="0"/>
              <w:keepLines w:val="0"/>
              <w:widowControl/>
              <w:suppressLineNumbers w:val="0"/>
              <w:spacing w:before="0" w:beforeAutospacing="0" w:afterAutospacing="0"/>
              <w:ind w:left="484" w:leftChars="100" w:right="0" w:hanging="284"/>
              <w:rPr>
                <w:rFonts w:hint="default" w:cs="v4.2.0"/>
                <w:szCs w:val="20"/>
                <w:lang w:val="en-US" w:eastAsia="zh-CN"/>
              </w:rPr>
            </w:pPr>
            <w:r>
              <w:rPr>
                <w:rFonts w:hint="default" w:ascii="Times New Roman" w:hAnsi="Times New Roman" w:eastAsia="Times New Roman" w:cs="Times New Roman"/>
                <w:kern w:val="0"/>
                <w:sz w:val="20"/>
                <w:szCs w:val="20"/>
                <w:lang w:val="en-US" w:eastAsia="zh-CN" w:bidi="ar"/>
              </w:rPr>
              <w:t xml:space="preserve">The 1 Rx RedCap in HD-FDD shall meet all applicable requirements specified in clause 4.2.2.6 </w:t>
            </w:r>
            <w:r>
              <w:rPr>
                <w:rFonts w:hint="default" w:ascii="Times New Roman" w:hAnsi="Times New Roman" w:eastAsia="Times New Roman" w:cs="v4.2.0"/>
                <w:kern w:val="0"/>
                <w:sz w:val="20"/>
                <w:szCs w:val="20"/>
                <w:lang w:val="en-US" w:eastAsia="zh-CN" w:bidi="ar"/>
              </w:rPr>
              <w:t>under the following conditions</w:t>
            </w:r>
          </w:p>
          <w:p>
            <w:pPr>
              <w:pStyle w:val="30"/>
              <w:keepNext w:val="0"/>
              <w:keepLines w:val="0"/>
              <w:widowControl/>
              <w:numPr>
                <w:ilvl w:val="1"/>
                <w:numId w:val="0"/>
              </w:numPr>
              <w:suppressLineNumbers w:val="0"/>
              <w:overflowPunct w:val="0"/>
              <w:autoSpaceDE w:val="0"/>
              <w:autoSpaceDN w:val="0"/>
              <w:adjustRightInd w:val="0"/>
              <w:spacing w:before="0" w:beforeAutospacing="0" w:after="180" w:afterAutospacing="0"/>
              <w:ind w:left="484" w:leftChars="100" w:right="0" w:hanging="284"/>
              <w:jc w:val="left"/>
              <w:rPr>
                <w:rFonts w:hint="default" w:cs="Times New Roman"/>
                <w:bCs w:val="0"/>
                <w:iCs w:val="0"/>
                <w:kern w:val="0"/>
                <w:sz w:val="20"/>
                <w:szCs w:val="20"/>
                <w:vertAlign w:val="baseline"/>
                <w:lang w:val="en-US" w:eastAsia="zh-CN" w:bidi="ar"/>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at least 1 SSB is available at the UE in the serving cell during the last 160 ms duration.</w:t>
            </w:r>
          </w:p>
        </w:tc>
      </w:tr>
    </w:tbl>
    <w:p>
      <w:pPr>
        <w:pStyle w:val="2"/>
        <w:numPr>
          <w:ilvl w:val="1"/>
          <w:numId w:val="0"/>
        </w:numPr>
        <w:spacing w:beforeLines="50"/>
        <w:ind w:leftChars="100"/>
        <w:rPr>
          <w:rFonts w:hint="eastAsia" w:cs="Times New Roman"/>
          <w:bCs w:val="0"/>
          <w:iCs w:val="0"/>
          <w:kern w:val="0"/>
          <w:sz w:val="20"/>
          <w:szCs w:val="20"/>
          <w:lang w:val="en-US" w:eastAsia="zh-CN" w:bidi="ar"/>
        </w:rPr>
      </w:pPr>
      <w:r>
        <w:rPr>
          <w:rFonts w:hint="eastAsia" w:cs="Times New Roman"/>
          <w:bCs w:val="0"/>
          <w:iCs w:val="0"/>
          <w:kern w:val="0"/>
          <w:sz w:val="20"/>
          <w:szCs w:val="20"/>
          <w:lang w:val="en-US" w:eastAsia="zh-CN" w:bidi="ar"/>
        </w:rPr>
        <w:t>In my opinion, the requirements defined in clause 4.2.2.6 shall be reused for HD-FDD RedCap UE with MR based on above description.</w:t>
      </w:r>
    </w:p>
    <w:p>
      <w:pPr>
        <w:pStyle w:val="2"/>
        <w:numPr>
          <w:ilvl w:val="0"/>
          <w:numId w:val="8"/>
        </w:numPr>
        <w:spacing w:beforeLines="50"/>
        <w:rPr>
          <w:rFonts w:hint="default" w:cs="Times New Roman"/>
          <w:bCs w:val="0"/>
          <w:iCs w:val="0"/>
          <w:kern w:val="0"/>
          <w:sz w:val="20"/>
          <w:szCs w:val="20"/>
          <w:lang w:val="en-US" w:eastAsia="zh-CN" w:bidi="ar"/>
        </w:rPr>
      </w:pPr>
      <w:r>
        <w:rPr>
          <w:rFonts w:hint="eastAsia" w:cs="Times New Roman"/>
          <w:bCs w:val="0"/>
          <w:iCs w:val="0"/>
          <w:kern w:val="0"/>
          <w:sz w:val="20"/>
          <w:szCs w:val="20"/>
          <w:lang w:val="en-US" w:eastAsia="zh-CN" w:bidi="ar"/>
        </w:rPr>
        <w:t>HD-FDD RedCap UE with LR</w:t>
      </w:r>
    </w:p>
    <w:p>
      <w:pPr>
        <w:pStyle w:val="2"/>
        <w:numPr>
          <w:ilvl w:val="1"/>
          <w:numId w:val="0"/>
        </w:numPr>
        <w:spacing w:beforeLines="50"/>
        <w:ind w:leftChars="100" w:firstLine="0"/>
        <w:rPr>
          <w:rFonts w:hint="eastAsia" w:cs="Times New Roman"/>
          <w:bCs w:val="0"/>
          <w:iCs w:val="0"/>
          <w:kern w:val="0"/>
          <w:sz w:val="20"/>
          <w:szCs w:val="20"/>
          <w:lang w:val="en-US" w:eastAsia="zh-CN" w:bidi="ar"/>
        </w:rPr>
      </w:pPr>
      <w:r>
        <w:rPr>
          <w:rFonts w:hint="eastAsia" w:cs="Times New Roman"/>
          <w:bCs w:val="0"/>
          <w:iCs w:val="0"/>
          <w:kern w:val="0"/>
          <w:sz w:val="20"/>
          <w:szCs w:val="20"/>
          <w:lang w:val="en-US" w:eastAsia="zh-CN" w:bidi="ar"/>
        </w:rPr>
        <w:t>For HD-FDD RedCap UE with LR, the above table also gives the requirements availability. Hence, the same availability shall be reused, then the legacy requirements on maximum interruption in paging reception can be the same.</w:t>
      </w:r>
    </w:p>
    <w:p>
      <w:pPr>
        <w:pStyle w:val="2"/>
        <w:numPr>
          <w:ilvl w:val="-1"/>
          <w:numId w:val="0"/>
        </w:numPr>
        <w:spacing w:beforeLines="50"/>
        <w:rPr>
          <w:rFonts w:hint="eastAsia" w:cs="Times New Roman"/>
          <w:bCs w:val="0"/>
          <w:iCs w:val="0"/>
          <w:kern w:val="0"/>
          <w:sz w:val="20"/>
          <w:szCs w:val="20"/>
          <w:lang w:val="en-US" w:eastAsia="zh-CN" w:bidi="ar"/>
        </w:rPr>
      </w:pPr>
      <w:r>
        <w:rPr>
          <w:rFonts w:hint="eastAsia" w:cs="Times New Roman"/>
          <w:bCs w:val="0"/>
          <w:iCs w:val="0"/>
          <w:kern w:val="0"/>
          <w:sz w:val="20"/>
          <w:szCs w:val="20"/>
          <w:lang w:val="en-US" w:eastAsia="zh-CN" w:bidi="ar"/>
        </w:rPr>
        <w:t>Based on above analysis, the summary table as follows:</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56"/>
        <w:gridCol w:w="4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6" w:type="dxa"/>
          </w:tcPr>
          <w:p>
            <w:pPr>
              <w:pStyle w:val="2"/>
              <w:keepNext w:val="0"/>
              <w:keepLines w:val="0"/>
              <w:widowControl/>
              <w:numPr>
                <w:ilvl w:val="-1"/>
                <w:numId w:val="0"/>
              </w:numPr>
              <w:suppressLineNumbers w:val="0"/>
              <w:spacing w:before="0" w:beforeLines="50" w:beforeAutospacing="0" w:afterAutospacing="0"/>
              <w:ind w:left="0" w:right="0"/>
              <w:rPr>
                <w:rFonts w:hint="default" w:cs="Times New Roman"/>
                <w:bCs w:val="0"/>
                <w:iCs w:val="0"/>
                <w:kern w:val="0"/>
                <w:sz w:val="20"/>
                <w:szCs w:val="20"/>
                <w:vertAlign w:val="baseline"/>
                <w:lang w:val="en-US" w:eastAsia="zh-CN" w:bidi="ar"/>
              </w:rPr>
            </w:pPr>
            <w:r>
              <w:rPr>
                <w:rFonts w:hint="eastAsia" w:cs="Times New Roman"/>
                <w:bCs w:val="0"/>
                <w:iCs w:val="0"/>
                <w:kern w:val="0"/>
                <w:sz w:val="20"/>
                <w:szCs w:val="20"/>
                <w:vertAlign w:val="baseline"/>
                <w:lang w:val="en-US" w:eastAsia="zh-CN" w:bidi="ar"/>
              </w:rPr>
              <w:t>Cases</w:t>
            </w:r>
          </w:p>
        </w:tc>
        <w:tc>
          <w:tcPr>
            <w:tcW w:w="4215" w:type="dxa"/>
          </w:tcPr>
          <w:p>
            <w:pPr>
              <w:pStyle w:val="2"/>
              <w:keepNext w:val="0"/>
              <w:keepLines w:val="0"/>
              <w:widowControl/>
              <w:numPr>
                <w:ilvl w:val="-1"/>
                <w:numId w:val="0"/>
              </w:numPr>
              <w:suppressLineNumbers w:val="0"/>
              <w:spacing w:before="0" w:beforeLines="50" w:beforeAutospacing="0" w:afterAutospacing="0"/>
              <w:ind w:left="0" w:right="0"/>
              <w:rPr>
                <w:rFonts w:hint="default" w:cs="Times New Roman"/>
                <w:bCs w:val="0"/>
                <w:iCs w:val="0"/>
                <w:kern w:val="0"/>
                <w:sz w:val="20"/>
                <w:szCs w:val="20"/>
                <w:vertAlign w:val="baseline"/>
                <w:lang w:val="en-US" w:eastAsia="zh-CN" w:bidi="ar"/>
              </w:rPr>
            </w:pPr>
            <w:r>
              <w:rPr>
                <w:rFonts w:hint="eastAsia" w:cs="Times New Roman"/>
                <w:bCs w:val="0"/>
                <w:iCs w:val="0"/>
                <w:kern w:val="0"/>
                <w:sz w:val="20"/>
                <w:szCs w:val="20"/>
                <w:vertAlign w:val="baseline"/>
                <w:lang w:val="en-US" w:eastAsia="zh-CN" w:bidi="ar"/>
              </w:rPr>
              <w:t>Requirements to define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6" w:type="dxa"/>
          </w:tcPr>
          <w:p>
            <w:pPr>
              <w:pStyle w:val="2"/>
              <w:keepNext w:val="0"/>
              <w:keepLines w:val="0"/>
              <w:widowControl/>
              <w:numPr>
                <w:ilvl w:val="-1"/>
                <w:numId w:val="0"/>
              </w:numPr>
              <w:suppressLineNumbers w:val="0"/>
              <w:spacing w:before="0" w:beforeLines="50" w:beforeAutospacing="0" w:afterAutospacing="0"/>
              <w:ind w:left="0" w:right="0"/>
              <w:rPr>
                <w:rFonts w:hint="default" w:cs="Times New Roman"/>
                <w:bCs w:val="0"/>
                <w:iCs w:val="0"/>
                <w:kern w:val="0"/>
                <w:sz w:val="20"/>
                <w:szCs w:val="20"/>
                <w:vertAlign w:val="baseline"/>
                <w:lang w:val="en-US" w:eastAsia="zh-CN" w:bidi="ar"/>
              </w:rPr>
            </w:pPr>
            <w:r>
              <w:rPr>
                <w:rFonts w:hint="eastAsia"/>
                <w:b w:val="0"/>
                <w:bCs w:val="0"/>
                <w:sz w:val="20"/>
                <w:szCs w:val="20"/>
                <w:lang w:val="en-US" w:eastAsia="zh-CN"/>
              </w:rPr>
              <w:t>2Rx RedCap UE with MR</w:t>
            </w:r>
          </w:p>
        </w:tc>
        <w:tc>
          <w:tcPr>
            <w:tcW w:w="4215" w:type="dxa"/>
          </w:tcPr>
          <w:p>
            <w:pPr>
              <w:pStyle w:val="2"/>
              <w:keepNext w:val="0"/>
              <w:keepLines w:val="0"/>
              <w:widowControl/>
              <w:numPr>
                <w:ilvl w:val="0"/>
                <w:numId w:val="14"/>
              </w:numPr>
              <w:suppressLineNumbers w:val="0"/>
              <w:spacing w:before="0" w:beforeLines="50" w:beforeAutospacing="0" w:afterAutospacing="0"/>
              <w:ind w:left="0" w:right="0"/>
              <w:rPr>
                <w:rFonts w:hint="default" w:cs="Times New Roman"/>
                <w:bCs w:val="0"/>
                <w:iCs w:val="0"/>
                <w:kern w:val="0"/>
                <w:sz w:val="20"/>
                <w:szCs w:val="20"/>
                <w:vertAlign w:val="baseline"/>
                <w:lang w:val="en-US" w:eastAsia="zh-CN" w:bidi="ar"/>
              </w:rPr>
            </w:pPr>
            <w:r>
              <w:rPr>
                <w:rFonts w:hint="eastAsia" w:cs="Times New Roman"/>
                <w:bCs w:val="0"/>
                <w:iCs w:val="0"/>
                <w:kern w:val="0"/>
                <w:sz w:val="20"/>
                <w:szCs w:val="20"/>
                <w:vertAlign w:val="baseline"/>
                <w:lang w:val="en-US" w:eastAsia="zh-CN" w:bidi="ar"/>
              </w:rPr>
              <w:t>Reused legacy 2Rx RedCap UE RRM requirements;</w:t>
            </w:r>
          </w:p>
          <w:p>
            <w:pPr>
              <w:pStyle w:val="2"/>
              <w:keepNext w:val="0"/>
              <w:keepLines w:val="0"/>
              <w:widowControl/>
              <w:numPr>
                <w:ilvl w:val="0"/>
                <w:numId w:val="14"/>
              </w:numPr>
              <w:suppressLineNumbers w:val="0"/>
              <w:spacing w:before="0" w:beforeLines="50" w:beforeAutospacing="0" w:afterAutospacing="0"/>
              <w:ind w:left="0" w:right="0"/>
              <w:rPr>
                <w:rFonts w:hint="default" w:cs="Times New Roman"/>
                <w:bCs w:val="0"/>
                <w:iCs w:val="0"/>
                <w:kern w:val="0"/>
                <w:sz w:val="20"/>
                <w:szCs w:val="20"/>
                <w:vertAlign w:val="baseline"/>
                <w:lang w:val="en-US" w:eastAsia="zh-CN" w:bidi="ar"/>
              </w:rPr>
            </w:pPr>
            <w:r>
              <w:rPr>
                <w:rFonts w:hint="eastAsia" w:cs="Times New Roman"/>
                <w:bCs w:val="0"/>
                <w:iCs w:val="0"/>
                <w:kern w:val="0"/>
                <w:sz w:val="20"/>
                <w:szCs w:val="20"/>
                <w:vertAlign w:val="baseline"/>
                <w:lang w:val="en-US" w:eastAsia="zh-CN" w:bidi="ar"/>
              </w:rPr>
              <w:t>Reused wake up delay requirements (the number of 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6" w:type="dxa"/>
          </w:tcPr>
          <w:p>
            <w:pPr>
              <w:pStyle w:val="2"/>
              <w:keepNext w:val="0"/>
              <w:keepLines w:val="0"/>
              <w:widowControl/>
              <w:numPr>
                <w:ilvl w:val="-1"/>
                <w:numId w:val="0"/>
              </w:numPr>
              <w:suppressLineNumbers w:val="0"/>
              <w:spacing w:before="0" w:beforeLines="50" w:beforeAutospacing="0" w:afterAutospacing="0"/>
              <w:ind w:left="0" w:right="0"/>
              <w:rPr>
                <w:rFonts w:hint="default" w:cs="Times New Roman"/>
                <w:bCs w:val="0"/>
                <w:iCs w:val="0"/>
                <w:kern w:val="0"/>
                <w:sz w:val="20"/>
                <w:szCs w:val="20"/>
                <w:vertAlign w:val="baseline"/>
                <w:lang w:val="en-US" w:eastAsia="zh-CN" w:bidi="ar"/>
              </w:rPr>
            </w:pPr>
            <w:r>
              <w:rPr>
                <w:rFonts w:hint="eastAsia"/>
                <w:b w:val="0"/>
                <w:bCs w:val="0"/>
                <w:sz w:val="20"/>
                <w:szCs w:val="20"/>
                <w:lang w:val="en-US" w:eastAsia="zh-CN"/>
              </w:rPr>
              <w:t>1Rx RedCap UE with MR</w:t>
            </w:r>
          </w:p>
        </w:tc>
        <w:tc>
          <w:tcPr>
            <w:tcW w:w="4215" w:type="dxa"/>
          </w:tcPr>
          <w:p>
            <w:pPr>
              <w:pStyle w:val="2"/>
              <w:keepNext w:val="0"/>
              <w:keepLines w:val="0"/>
              <w:widowControl/>
              <w:numPr>
                <w:ilvl w:val="0"/>
                <w:numId w:val="15"/>
              </w:numPr>
              <w:suppressLineNumbers w:val="0"/>
              <w:spacing w:before="0" w:beforeLines="50" w:beforeAutospacing="0" w:afterAutospacing="0"/>
              <w:ind w:left="0" w:right="0"/>
              <w:rPr>
                <w:rFonts w:hint="default" w:cs="Times New Roman"/>
                <w:bCs w:val="0"/>
                <w:iCs w:val="0"/>
                <w:kern w:val="0"/>
                <w:sz w:val="20"/>
                <w:szCs w:val="20"/>
                <w:vertAlign w:val="baseline"/>
                <w:lang w:val="en-US" w:eastAsia="zh-CN" w:bidi="ar"/>
              </w:rPr>
            </w:pPr>
            <w:r>
              <w:rPr>
                <w:rFonts w:hint="eastAsia"/>
                <w:b w:val="0"/>
                <w:bCs w:val="0"/>
                <w:sz w:val="20"/>
                <w:szCs w:val="20"/>
                <w:lang w:val="en-US" w:eastAsia="zh-CN"/>
              </w:rPr>
              <w:t>the requirements for 1Rx RedCap UE with MR is the same as 1Rx RedCap UE in legacy with specific side conditions.</w:t>
            </w:r>
          </w:p>
          <w:p>
            <w:pPr>
              <w:pStyle w:val="2"/>
              <w:keepNext w:val="0"/>
              <w:keepLines w:val="0"/>
              <w:widowControl/>
              <w:numPr>
                <w:ilvl w:val="0"/>
                <w:numId w:val="15"/>
              </w:numPr>
              <w:suppressLineNumbers w:val="0"/>
              <w:spacing w:before="0" w:beforeLines="50" w:beforeAutospacing="0" w:afterAutospacing="0"/>
              <w:ind w:left="0" w:right="0"/>
              <w:rPr>
                <w:rFonts w:hint="default" w:cs="Times New Roman"/>
                <w:bCs w:val="0"/>
                <w:iCs w:val="0"/>
                <w:kern w:val="0"/>
                <w:sz w:val="20"/>
                <w:szCs w:val="20"/>
                <w:vertAlign w:val="baseline"/>
                <w:lang w:val="en-US" w:eastAsia="zh-CN" w:bidi="ar"/>
              </w:rPr>
            </w:pPr>
            <w:r>
              <w:rPr>
                <w:rFonts w:hint="eastAsia" w:cs="Times New Roman"/>
                <w:bCs w:val="0"/>
                <w:iCs w:val="0"/>
                <w:kern w:val="0"/>
                <w:sz w:val="20"/>
                <w:szCs w:val="20"/>
                <w:vertAlign w:val="baseline"/>
                <w:lang w:val="en-US" w:eastAsia="zh-CN" w:bidi="ar"/>
              </w:rPr>
              <w:t>Reused wake up delay requirements (the number of SSB)</w:t>
            </w:r>
          </w:p>
          <w:p>
            <w:pPr>
              <w:pStyle w:val="2"/>
              <w:keepNext w:val="0"/>
              <w:keepLines w:val="0"/>
              <w:widowControl/>
              <w:numPr>
                <w:ilvl w:val="0"/>
                <w:numId w:val="15"/>
              </w:numPr>
              <w:suppressLineNumbers w:val="0"/>
              <w:spacing w:before="0" w:beforeLines="50" w:beforeAutospacing="0" w:afterAutospacing="0"/>
              <w:ind w:left="0" w:right="0"/>
              <w:rPr>
                <w:rFonts w:hint="default" w:cs="Times New Roman"/>
                <w:bCs w:val="0"/>
                <w:iCs w:val="0"/>
                <w:kern w:val="0"/>
                <w:sz w:val="20"/>
                <w:szCs w:val="20"/>
                <w:vertAlign w:val="baseline"/>
                <w:lang w:val="en-US" w:eastAsia="zh-CN" w:bidi="ar"/>
              </w:rPr>
            </w:pPr>
            <w:r>
              <w:rPr>
                <w:rFonts w:hint="eastAsia" w:cs="Times New Roman"/>
                <w:bCs w:val="0"/>
                <w:iCs w:val="0"/>
                <w:kern w:val="0"/>
                <w:sz w:val="20"/>
                <w:szCs w:val="20"/>
                <w:vertAlign w:val="baseline"/>
                <w:lang w:val="en-US" w:eastAsia="zh-CN" w:bidi="ar"/>
              </w:rPr>
              <w:t>RAN4 shall define the specific side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6" w:type="dxa"/>
          </w:tcPr>
          <w:p>
            <w:pPr>
              <w:pStyle w:val="2"/>
              <w:keepNext w:val="0"/>
              <w:keepLines w:val="0"/>
              <w:widowControl/>
              <w:numPr>
                <w:ilvl w:val="-1"/>
                <w:numId w:val="0"/>
              </w:numPr>
              <w:suppressLineNumbers w:val="0"/>
              <w:spacing w:before="0" w:beforeLines="50" w:beforeAutospacing="0" w:afterAutospacing="0"/>
              <w:ind w:left="0" w:right="0"/>
              <w:rPr>
                <w:rFonts w:hint="default" w:cs="Times New Roman"/>
                <w:bCs w:val="0"/>
                <w:iCs w:val="0"/>
                <w:kern w:val="0"/>
                <w:sz w:val="20"/>
                <w:szCs w:val="20"/>
                <w:vertAlign w:val="baseline"/>
                <w:lang w:val="en-US" w:eastAsia="zh-CN" w:bidi="ar"/>
              </w:rPr>
            </w:pPr>
            <w:r>
              <w:rPr>
                <w:rFonts w:hint="eastAsia"/>
                <w:b w:val="0"/>
                <w:bCs w:val="0"/>
                <w:sz w:val="20"/>
                <w:szCs w:val="20"/>
                <w:lang w:val="en-US" w:eastAsia="zh-CN"/>
              </w:rPr>
              <w:t>1Rx RedCap UE with LR</w:t>
            </w:r>
          </w:p>
        </w:tc>
        <w:tc>
          <w:tcPr>
            <w:tcW w:w="4215" w:type="dxa"/>
          </w:tcPr>
          <w:p>
            <w:pPr>
              <w:pStyle w:val="2"/>
              <w:keepNext w:val="0"/>
              <w:keepLines w:val="0"/>
              <w:widowControl/>
              <w:numPr>
                <w:ilvl w:val="-1"/>
                <w:numId w:val="0"/>
              </w:numPr>
              <w:suppressLineNumbers w:val="0"/>
              <w:spacing w:before="0" w:beforeLines="50" w:beforeAutospacing="0" w:afterAutospacing="0"/>
              <w:ind w:left="0" w:right="0"/>
              <w:rPr>
                <w:rFonts w:hint="default" w:cs="Times New Roman"/>
                <w:bCs w:val="0"/>
                <w:iCs w:val="0"/>
                <w:kern w:val="0"/>
                <w:sz w:val="20"/>
                <w:szCs w:val="20"/>
                <w:vertAlign w:val="baseline"/>
                <w:lang w:val="en-US" w:eastAsia="zh-CN" w:bidi="ar"/>
              </w:rPr>
            </w:pPr>
            <w:r>
              <w:rPr>
                <w:rFonts w:hint="eastAsia" w:cs="Times New Roman"/>
                <w:bCs w:val="0"/>
                <w:iCs w:val="0"/>
                <w:kern w:val="0"/>
                <w:sz w:val="20"/>
                <w:szCs w:val="20"/>
                <w:lang w:val="en-US" w:eastAsia="zh-CN" w:bidi="ar"/>
              </w:rPr>
              <w:t>The requirements for normal UE with LR could be reused for 1Rx RedCap UE with LR.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6" w:type="dxa"/>
          </w:tcPr>
          <w:p>
            <w:pPr>
              <w:pStyle w:val="2"/>
              <w:keepNext w:val="0"/>
              <w:keepLines w:val="0"/>
              <w:widowControl/>
              <w:numPr>
                <w:ilvl w:val="-1"/>
                <w:numId w:val="0"/>
              </w:numPr>
              <w:suppressLineNumbers w:val="0"/>
              <w:spacing w:before="0" w:beforeLines="50" w:beforeAutospacing="0" w:afterAutospacing="0"/>
              <w:ind w:left="0" w:right="0"/>
              <w:rPr>
                <w:rFonts w:hint="default" w:cs="Times New Roman"/>
                <w:bCs w:val="0"/>
                <w:iCs w:val="0"/>
                <w:kern w:val="0"/>
                <w:sz w:val="20"/>
                <w:szCs w:val="20"/>
                <w:vertAlign w:val="baseline"/>
                <w:lang w:val="en-US" w:eastAsia="zh-CN" w:bidi="ar"/>
              </w:rPr>
            </w:pPr>
            <w:r>
              <w:rPr>
                <w:rFonts w:hint="eastAsia"/>
                <w:b w:val="0"/>
                <w:bCs w:val="0"/>
                <w:sz w:val="20"/>
                <w:szCs w:val="20"/>
                <w:lang w:val="en-US" w:eastAsia="zh-CN"/>
              </w:rPr>
              <w:t>HD-FDD RedCap UE with MR</w:t>
            </w:r>
          </w:p>
        </w:tc>
        <w:tc>
          <w:tcPr>
            <w:tcW w:w="4215" w:type="dxa"/>
          </w:tcPr>
          <w:p>
            <w:pPr>
              <w:pStyle w:val="2"/>
              <w:keepNext w:val="0"/>
              <w:keepLines w:val="0"/>
              <w:widowControl/>
              <w:numPr>
                <w:ilvl w:val="-1"/>
                <w:numId w:val="0"/>
              </w:numPr>
              <w:suppressLineNumbers w:val="0"/>
              <w:spacing w:before="0" w:beforeLines="50" w:beforeAutospacing="0" w:afterAutospacing="0"/>
              <w:ind w:left="0" w:right="0"/>
              <w:rPr>
                <w:rFonts w:hint="default" w:cs="Times New Roman"/>
                <w:bCs w:val="0"/>
                <w:iCs w:val="0"/>
                <w:kern w:val="0"/>
                <w:sz w:val="20"/>
                <w:szCs w:val="20"/>
                <w:vertAlign w:val="baseline"/>
                <w:lang w:val="en-US" w:eastAsia="zh-CN" w:bidi="ar"/>
              </w:rPr>
            </w:pPr>
            <w:r>
              <w:rPr>
                <w:rFonts w:hint="eastAsia" w:cs="Times New Roman"/>
                <w:bCs w:val="0"/>
                <w:iCs w:val="0"/>
                <w:kern w:val="0"/>
                <w:sz w:val="20"/>
                <w:szCs w:val="20"/>
                <w:lang w:val="en-US" w:eastAsia="zh-CN" w:bidi="ar"/>
              </w:rPr>
              <w:t>The legacy maximum interruption in paging reception requirements shall be reused for HD-FDD RedCap UE with MR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6" w:type="dxa"/>
          </w:tcPr>
          <w:p>
            <w:pPr>
              <w:pStyle w:val="2"/>
              <w:keepNext w:val="0"/>
              <w:keepLines w:val="0"/>
              <w:widowControl/>
              <w:numPr>
                <w:ilvl w:val="-1"/>
                <w:numId w:val="0"/>
              </w:numPr>
              <w:suppressLineNumbers w:val="0"/>
              <w:spacing w:before="0" w:beforeLines="50" w:beforeAutospacing="0" w:afterAutospacing="0"/>
              <w:ind w:left="0" w:right="0"/>
              <w:rPr>
                <w:rFonts w:hint="default" w:cs="Times New Roman"/>
                <w:bCs w:val="0"/>
                <w:iCs w:val="0"/>
                <w:kern w:val="0"/>
                <w:sz w:val="20"/>
                <w:szCs w:val="20"/>
                <w:vertAlign w:val="baseline"/>
                <w:lang w:val="en-US" w:eastAsia="zh-CN" w:bidi="ar"/>
              </w:rPr>
            </w:pPr>
            <w:r>
              <w:rPr>
                <w:rFonts w:hint="eastAsia"/>
                <w:b w:val="0"/>
                <w:bCs w:val="0"/>
                <w:sz w:val="20"/>
                <w:szCs w:val="20"/>
                <w:lang w:val="en-US" w:eastAsia="zh-CN"/>
              </w:rPr>
              <w:t>HD-FDD RedCap UE with LR</w:t>
            </w:r>
          </w:p>
        </w:tc>
        <w:tc>
          <w:tcPr>
            <w:tcW w:w="4215" w:type="dxa"/>
          </w:tcPr>
          <w:p>
            <w:pPr>
              <w:pStyle w:val="2"/>
              <w:keepNext w:val="0"/>
              <w:keepLines w:val="0"/>
              <w:widowControl/>
              <w:numPr>
                <w:ilvl w:val="-1"/>
                <w:numId w:val="0"/>
              </w:numPr>
              <w:suppressLineNumbers w:val="0"/>
              <w:spacing w:before="0" w:beforeLines="50" w:beforeAutospacing="0" w:afterAutospacing="0"/>
              <w:ind w:left="0" w:right="0"/>
              <w:rPr>
                <w:rFonts w:hint="default" w:cs="Times New Roman"/>
                <w:bCs w:val="0"/>
                <w:iCs w:val="0"/>
                <w:kern w:val="0"/>
                <w:sz w:val="20"/>
                <w:szCs w:val="20"/>
                <w:vertAlign w:val="baseline"/>
                <w:lang w:val="en-US" w:eastAsia="zh-CN" w:bidi="ar"/>
              </w:rPr>
            </w:pPr>
            <w:r>
              <w:rPr>
                <w:rFonts w:hint="eastAsia" w:cs="Times New Roman"/>
                <w:bCs w:val="0"/>
                <w:iCs w:val="0"/>
                <w:kern w:val="0"/>
                <w:sz w:val="20"/>
                <w:szCs w:val="20"/>
                <w:lang w:val="en-US" w:eastAsia="zh-CN" w:bidi="ar"/>
              </w:rPr>
              <w:t>The same legacy availability rule shall be reused, then the legacy requirements on maximum interruption in paging reception can be the same.</w:t>
            </w:r>
          </w:p>
        </w:tc>
      </w:tr>
    </w:tbl>
    <w:p>
      <w:pPr>
        <w:pStyle w:val="2"/>
        <w:numPr>
          <w:ilvl w:val="-1"/>
          <w:numId w:val="0"/>
        </w:numPr>
        <w:spacing w:beforeLines="50"/>
        <w:rPr>
          <w:rFonts w:hint="eastAsia" w:cs="Times New Roman"/>
          <w:b/>
          <w:bCs/>
          <w:iCs w:val="0"/>
          <w:kern w:val="0"/>
          <w:sz w:val="20"/>
          <w:szCs w:val="20"/>
          <w:lang w:val="en-US" w:eastAsia="zh-CN" w:bidi="ar"/>
        </w:rPr>
      </w:pPr>
      <w:r>
        <w:rPr>
          <w:rFonts w:hint="eastAsia" w:cs="Times New Roman"/>
          <w:b/>
          <w:bCs/>
          <w:iCs w:val="0"/>
          <w:kern w:val="0"/>
          <w:sz w:val="20"/>
          <w:szCs w:val="20"/>
          <w:lang w:val="en-US" w:eastAsia="zh-CN" w:bidi="ar"/>
        </w:rPr>
        <w:t>Proposal 6: RAN4 shall cosnsider RedCap UEs with MR/LR, there are six cases shall be considered, the following table shall be considered:</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56"/>
        <w:gridCol w:w="4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56" w:type="dxa"/>
          </w:tcPr>
          <w:p>
            <w:pPr>
              <w:pStyle w:val="2"/>
              <w:keepNext w:val="0"/>
              <w:keepLines w:val="0"/>
              <w:widowControl/>
              <w:numPr>
                <w:ilvl w:val="-1"/>
                <w:numId w:val="0"/>
              </w:numPr>
              <w:suppressLineNumbers w:val="0"/>
              <w:spacing w:before="0" w:beforeLines="50" w:beforeAutospacing="0" w:afterAutospacing="0"/>
              <w:ind w:left="0" w:right="0"/>
              <w:rPr>
                <w:rFonts w:hint="default" w:cs="Times New Roman"/>
                <w:b/>
                <w:bCs/>
                <w:iCs w:val="0"/>
                <w:kern w:val="0"/>
                <w:sz w:val="20"/>
                <w:szCs w:val="20"/>
                <w:vertAlign w:val="baseline"/>
                <w:lang w:val="en-US" w:eastAsia="zh-CN" w:bidi="ar"/>
              </w:rPr>
            </w:pPr>
            <w:r>
              <w:rPr>
                <w:rFonts w:hint="eastAsia" w:cs="Times New Roman"/>
                <w:b/>
                <w:bCs/>
                <w:iCs w:val="0"/>
                <w:kern w:val="0"/>
                <w:sz w:val="20"/>
                <w:szCs w:val="20"/>
                <w:vertAlign w:val="baseline"/>
                <w:lang w:val="en-US" w:eastAsia="zh-CN" w:bidi="ar"/>
              </w:rPr>
              <w:t>Cases</w:t>
            </w:r>
          </w:p>
        </w:tc>
        <w:tc>
          <w:tcPr>
            <w:tcW w:w="4215" w:type="dxa"/>
          </w:tcPr>
          <w:p>
            <w:pPr>
              <w:pStyle w:val="2"/>
              <w:keepNext w:val="0"/>
              <w:keepLines w:val="0"/>
              <w:widowControl/>
              <w:numPr>
                <w:ilvl w:val="-1"/>
                <w:numId w:val="0"/>
              </w:numPr>
              <w:suppressLineNumbers w:val="0"/>
              <w:spacing w:before="0" w:beforeLines="50" w:beforeAutospacing="0" w:afterAutospacing="0"/>
              <w:ind w:left="0" w:right="0"/>
              <w:rPr>
                <w:rFonts w:hint="default" w:cs="Times New Roman"/>
                <w:b/>
                <w:bCs/>
                <w:iCs w:val="0"/>
                <w:kern w:val="0"/>
                <w:sz w:val="20"/>
                <w:szCs w:val="20"/>
                <w:vertAlign w:val="baseline"/>
                <w:lang w:val="en-US" w:eastAsia="zh-CN" w:bidi="ar"/>
              </w:rPr>
            </w:pPr>
            <w:r>
              <w:rPr>
                <w:rFonts w:hint="eastAsia" w:cs="Times New Roman"/>
                <w:b/>
                <w:bCs/>
                <w:iCs w:val="0"/>
                <w:kern w:val="0"/>
                <w:sz w:val="20"/>
                <w:szCs w:val="20"/>
                <w:vertAlign w:val="baseline"/>
                <w:lang w:val="en-US" w:eastAsia="zh-CN" w:bidi="ar"/>
              </w:rPr>
              <w:t>Requirements to define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6" w:type="dxa"/>
          </w:tcPr>
          <w:p>
            <w:pPr>
              <w:pStyle w:val="2"/>
              <w:keepNext w:val="0"/>
              <w:keepLines w:val="0"/>
              <w:widowControl/>
              <w:numPr>
                <w:ilvl w:val="-1"/>
                <w:numId w:val="0"/>
              </w:numPr>
              <w:suppressLineNumbers w:val="0"/>
              <w:spacing w:before="0" w:beforeLines="50" w:beforeAutospacing="0" w:afterAutospacing="0"/>
              <w:ind w:left="0" w:right="0"/>
              <w:rPr>
                <w:rFonts w:hint="default" w:cs="Times New Roman"/>
                <w:b/>
                <w:bCs/>
                <w:iCs w:val="0"/>
                <w:kern w:val="0"/>
                <w:sz w:val="20"/>
                <w:szCs w:val="20"/>
                <w:vertAlign w:val="baseline"/>
                <w:lang w:val="en-US" w:eastAsia="zh-CN" w:bidi="ar"/>
              </w:rPr>
            </w:pPr>
            <w:r>
              <w:rPr>
                <w:rFonts w:hint="eastAsia"/>
                <w:b/>
                <w:bCs/>
                <w:sz w:val="20"/>
                <w:szCs w:val="20"/>
                <w:lang w:val="en-US" w:eastAsia="zh-CN"/>
              </w:rPr>
              <w:t>2Rx RedCap UE with MR</w:t>
            </w:r>
          </w:p>
        </w:tc>
        <w:tc>
          <w:tcPr>
            <w:tcW w:w="4215" w:type="dxa"/>
          </w:tcPr>
          <w:p>
            <w:pPr>
              <w:pStyle w:val="2"/>
              <w:keepNext w:val="0"/>
              <w:keepLines w:val="0"/>
              <w:widowControl/>
              <w:numPr>
                <w:ilvl w:val="0"/>
                <w:numId w:val="14"/>
              </w:numPr>
              <w:suppressLineNumbers w:val="0"/>
              <w:spacing w:before="0" w:beforeLines="50" w:beforeAutospacing="0" w:afterAutospacing="0"/>
              <w:ind w:left="0" w:right="0"/>
              <w:rPr>
                <w:rFonts w:hint="default" w:cs="Times New Roman"/>
                <w:b/>
                <w:bCs/>
                <w:iCs w:val="0"/>
                <w:kern w:val="0"/>
                <w:sz w:val="20"/>
                <w:szCs w:val="20"/>
                <w:vertAlign w:val="baseline"/>
                <w:lang w:val="en-US" w:eastAsia="zh-CN" w:bidi="ar"/>
              </w:rPr>
            </w:pPr>
            <w:r>
              <w:rPr>
                <w:rFonts w:hint="eastAsia" w:cs="Times New Roman"/>
                <w:b/>
                <w:bCs/>
                <w:iCs w:val="0"/>
                <w:kern w:val="0"/>
                <w:sz w:val="20"/>
                <w:szCs w:val="20"/>
                <w:vertAlign w:val="baseline"/>
                <w:lang w:val="en-US" w:eastAsia="zh-CN" w:bidi="ar"/>
              </w:rPr>
              <w:t>Reused legacy 2Rx RedCap UE RRM requirements;</w:t>
            </w:r>
          </w:p>
          <w:p>
            <w:pPr>
              <w:pStyle w:val="2"/>
              <w:keepNext w:val="0"/>
              <w:keepLines w:val="0"/>
              <w:widowControl/>
              <w:numPr>
                <w:ilvl w:val="0"/>
                <w:numId w:val="14"/>
              </w:numPr>
              <w:suppressLineNumbers w:val="0"/>
              <w:spacing w:before="0" w:beforeLines="50" w:beforeAutospacing="0" w:afterAutospacing="0"/>
              <w:ind w:left="0" w:right="0"/>
              <w:rPr>
                <w:rFonts w:hint="default" w:cs="Times New Roman"/>
                <w:b/>
                <w:bCs/>
                <w:iCs w:val="0"/>
                <w:kern w:val="0"/>
                <w:sz w:val="20"/>
                <w:szCs w:val="20"/>
                <w:vertAlign w:val="baseline"/>
                <w:lang w:val="en-US" w:eastAsia="zh-CN" w:bidi="ar"/>
              </w:rPr>
            </w:pPr>
            <w:r>
              <w:rPr>
                <w:rFonts w:hint="eastAsia" w:cs="Times New Roman"/>
                <w:b/>
                <w:bCs/>
                <w:iCs w:val="0"/>
                <w:kern w:val="0"/>
                <w:sz w:val="20"/>
                <w:szCs w:val="20"/>
                <w:vertAlign w:val="baseline"/>
                <w:lang w:val="en-US" w:eastAsia="zh-CN" w:bidi="ar"/>
              </w:rPr>
              <w:t>Reused wake up delay requirements (the number of 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6" w:type="dxa"/>
          </w:tcPr>
          <w:p>
            <w:pPr>
              <w:pStyle w:val="2"/>
              <w:keepNext w:val="0"/>
              <w:keepLines w:val="0"/>
              <w:widowControl/>
              <w:numPr>
                <w:ilvl w:val="-1"/>
                <w:numId w:val="0"/>
              </w:numPr>
              <w:suppressLineNumbers w:val="0"/>
              <w:spacing w:before="0" w:beforeLines="50" w:beforeAutospacing="0" w:afterAutospacing="0"/>
              <w:ind w:left="0" w:right="0"/>
              <w:rPr>
                <w:rFonts w:hint="default" w:cs="Times New Roman"/>
                <w:b/>
                <w:bCs/>
                <w:iCs w:val="0"/>
                <w:kern w:val="0"/>
                <w:sz w:val="20"/>
                <w:szCs w:val="20"/>
                <w:vertAlign w:val="baseline"/>
                <w:lang w:val="en-US" w:eastAsia="zh-CN" w:bidi="ar"/>
              </w:rPr>
            </w:pPr>
            <w:r>
              <w:rPr>
                <w:rFonts w:hint="eastAsia"/>
                <w:b/>
                <w:bCs/>
                <w:sz w:val="20"/>
                <w:szCs w:val="20"/>
                <w:lang w:val="en-US" w:eastAsia="zh-CN"/>
              </w:rPr>
              <w:t>1Rx RedCap UE with MR</w:t>
            </w:r>
          </w:p>
        </w:tc>
        <w:tc>
          <w:tcPr>
            <w:tcW w:w="4215" w:type="dxa"/>
          </w:tcPr>
          <w:p>
            <w:pPr>
              <w:pStyle w:val="2"/>
              <w:keepNext w:val="0"/>
              <w:keepLines w:val="0"/>
              <w:widowControl/>
              <w:numPr>
                <w:ilvl w:val="0"/>
                <w:numId w:val="15"/>
              </w:numPr>
              <w:suppressLineNumbers w:val="0"/>
              <w:spacing w:before="0" w:beforeLines="50" w:beforeAutospacing="0" w:afterAutospacing="0"/>
              <w:ind w:left="0" w:right="0"/>
              <w:rPr>
                <w:rFonts w:hint="default" w:cs="Times New Roman"/>
                <w:b/>
                <w:bCs/>
                <w:iCs w:val="0"/>
                <w:kern w:val="0"/>
                <w:sz w:val="20"/>
                <w:szCs w:val="20"/>
                <w:vertAlign w:val="baseline"/>
                <w:lang w:val="en-US" w:eastAsia="zh-CN" w:bidi="ar"/>
              </w:rPr>
            </w:pPr>
            <w:r>
              <w:rPr>
                <w:rFonts w:hint="eastAsia"/>
                <w:b/>
                <w:bCs/>
                <w:sz w:val="20"/>
                <w:szCs w:val="20"/>
                <w:lang w:val="en-US" w:eastAsia="zh-CN"/>
              </w:rPr>
              <w:t>the requirements for 1Rx RedCap UE with MR is the same as 1Rx RedCap UE in legacy with specific side conditions.</w:t>
            </w:r>
          </w:p>
          <w:p>
            <w:pPr>
              <w:pStyle w:val="2"/>
              <w:keepNext w:val="0"/>
              <w:keepLines w:val="0"/>
              <w:widowControl/>
              <w:numPr>
                <w:ilvl w:val="0"/>
                <w:numId w:val="15"/>
              </w:numPr>
              <w:suppressLineNumbers w:val="0"/>
              <w:spacing w:before="0" w:beforeLines="50" w:beforeAutospacing="0" w:afterAutospacing="0"/>
              <w:ind w:left="0" w:right="0"/>
              <w:rPr>
                <w:rFonts w:hint="default" w:cs="Times New Roman"/>
                <w:b/>
                <w:bCs/>
                <w:iCs w:val="0"/>
                <w:kern w:val="0"/>
                <w:sz w:val="20"/>
                <w:szCs w:val="20"/>
                <w:vertAlign w:val="baseline"/>
                <w:lang w:val="en-US" w:eastAsia="zh-CN" w:bidi="ar"/>
              </w:rPr>
            </w:pPr>
            <w:r>
              <w:rPr>
                <w:rFonts w:hint="eastAsia" w:cs="Times New Roman"/>
                <w:b/>
                <w:bCs/>
                <w:iCs w:val="0"/>
                <w:kern w:val="0"/>
                <w:sz w:val="20"/>
                <w:szCs w:val="20"/>
                <w:vertAlign w:val="baseline"/>
                <w:lang w:val="en-US" w:eastAsia="zh-CN" w:bidi="ar"/>
              </w:rPr>
              <w:t>Reused wake up delay requirements (the number of SSB)</w:t>
            </w:r>
          </w:p>
          <w:p>
            <w:pPr>
              <w:pStyle w:val="2"/>
              <w:keepNext w:val="0"/>
              <w:keepLines w:val="0"/>
              <w:widowControl/>
              <w:numPr>
                <w:ilvl w:val="0"/>
                <w:numId w:val="15"/>
              </w:numPr>
              <w:suppressLineNumbers w:val="0"/>
              <w:spacing w:before="0" w:beforeLines="50" w:beforeAutospacing="0" w:afterAutospacing="0"/>
              <w:ind w:left="0" w:right="0"/>
              <w:rPr>
                <w:rFonts w:hint="default" w:cs="Times New Roman"/>
                <w:b/>
                <w:bCs/>
                <w:iCs w:val="0"/>
                <w:kern w:val="0"/>
                <w:sz w:val="20"/>
                <w:szCs w:val="20"/>
                <w:vertAlign w:val="baseline"/>
                <w:lang w:val="en-US" w:eastAsia="zh-CN" w:bidi="ar"/>
              </w:rPr>
            </w:pPr>
            <w:r>
              <w:rPr>
                <w:rFonts w:hint="eastAsia" w:cs="Times New Roman"/>
                <w:b/>
                <w:bCs/>
                <w:iCs w:val="0"/>
                <w:kern w:val="0"/>
                <w:sz w:val="20"/>
                <w:szCs w:val="20"/>
                <w:vertAlign w:val="baseline"/>
                <w:lang w:val="en-US" w:eastAsia="zh-CN" w:bidi="ar"/>
              </w:rPr>
              <w:t>RAN4 shall define the specific side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6" w:type="dxa"/>
          </w:tcPr>
          <w:p>
            <w:pPr>
              <w:pStyle w:val="2"/>
              <w:keepNext w:val="0"/>
              <w:keepLines w:val="0"/>
              <w:widowControl/>
              <w:numPr>
                <w:ilvl w:val="-1"/>
                <w:numId w:val="0"/>
              </w:numPr>
              <w:suppressLineNumbers w:val="0"/>
              <w:spacing w:before="0" w:beforeLines="50" w:beforeAutospacing="0" w:afterAutospacing="0"/>
              <w:ind w:left="0" w:right="0"/>
              <w:rPr>
                <w:rFonts w:hint="default" w:cs="Times New Roman"/>
                <w:b/>
                <w:bCs/>
                <w:iCs w:val="0"/>
                <w:kern w:val="0"/>
                <w:sz w:val="20"/>
                <w:szCs w:val="20"/>
                <w:vertAlign w:val="baseline"/>
                <w:lang w:val="en-US" w:eastAsia="zh-CN" w:bidi="ar"/>
              </w:rPr>
            </w:pPr>
            <w:r>
              <w:rPr>
                <w:rFonts w:hint="eastAsia"/>
                <w:b/>
                <w:bCs/>
                <w:sz w:val="20"/>
                <w:szCs w:val="20"/>
                <w:lang w:val="en-US" w:eastAsia="zh-CN"/>
              </w:rPr>
              <w:t>1Rx RedCap UE with LR</w:t>
            </w:r>
          </w:p>
        </w:tc>
        <w:tc>
          <w:tcPr>
            <w:tcW w:w="4215" w:type="dxa"/>
          </w:tcPr>
          <w:p>
            <w:pPr>
              <w:pStyle w:val="2"/>
              <w:keepNext w:val="0"/>
              <w:keepLines w:val="0"/>
              <w:widowControl/>
              <w:numPr>
                <w:ilvl w:val="-1"/>
                <w:numId w:val="0"/>
              </w:numPr>
              <w:suppressLineNumbers w:val="0"/>
              <w:spacing w:before="0" w:beforeLines="50" w:beforeAutospacing="0" w:afterAutospacing="0"/>
              <w:ind w:left="0" w:right="0"/>
              <w:rPr>
                <w:rFonts w:hint="default" w:cs="Times New Roman"/>
                <w:b/>
                <w:bCs/>
                <w:iCs w:val="0"/>
                <w:kern w:val="0"/>
                <w:sz w:val="20"/>
                <w:szCs w:val="20"/>
                <w:vertAlign w:val="baseline"/>
                <w:lang w:val="en-US" w:eastAsia="zh-CN" w:bidi="ar"/>
              </w:rPr>
            </w:pPr>
            <w:r>
              <w:rPr>
                <w:rFonts w:hint="eastAsia" w:cs="Times New Roman"/>
                <w:b/>
                <w:bCs/>
                <w:iCs w:val="0"/>
                <w:kern w:val="0"/>
                <w:sz w:val="20"/>
                <w:szCs w:val="20"/>
                <w:lang w:val="en-US" w:eastAsia="zh-CN" w:bidi="ar"/>
              </w:rPr>
              <w:t>The requirements for normal UE with LR could be reused for 1Rx RedCap UE with LR.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6" w:type="dxa"/>
          </w:tcPr>
          <w:p>
            <w:pPr>
              <w:pStyle w:val="2"/>
              <w:keepNext w:val="0"/>
              <w:keepLines w:val="0"/>
              <w:widowControl/>
              <w:numPr>
                <w:ilvl w:val="-1"/>
                <w:numId w:val="0"/>
              </w:numPr>
              <w:suppressLineNumbers w:val="0"/>
              <w:spacing w:before="0" w:beforeLines="50" w:beforeAutospacing="0" w:afterAutospacing="0"/>
              <w:ind w:left="0" w:right="0"/>
              <w:rPr>
                <w:rFonts w:hint="default" w:cs="Times New Roman"/>
                <w:b/>
                <w:bCs/>
                <w:iCs w:val="0"/>
                <w:kern w:val="0"/>
                <w:sz w:val="20"/>
                <w:szCs w:val="20"/>
                <w:vertAlign w:val="baseline"/>
                <w:lang w:val="en-US" w:eastAsia="zh-CN" w:bidi="ar"/>
              </w:rPr>
            </w:pPr>
            <w:r>
              <w:rPr>
                <w:rFonts w:hint="eastAsia"/>
                <w:b/>
                <w:bCs/>
                <w:sz w:val="20"/>
                <w:szCs w:val="20"/>
                <w:lang w:val="en-US" w:eastAsia="zh-CN"/>
              </w:rPr>
              <w:t>HD-FDD RedCap UE with MR</w:t>
            </w:r>
          </w:p>
        </w:tc>
        <w:tc>
          <w:tcPr>
            <w:tcW w:w="4215" w:type="dxa"/>
          </w:tcPr>
          <w:p>
            <w:pPr>
              <w:pStyle w:val="2"/>
              <w:keepNext w:val="0"/>
              <w:keepLines w:val="0"/>
              <w:widowControl/>
              <w:numPr>
                <w:ilvl w:val="-1"/>
                <w:numId w:val="0"/>
              </w:numPr>
              <w:suppressLineNumbers w:val="0"/>
              <w:spacing w:before="0" w:beforeLines="50" w:beforeAutospacing="0" w:afterAutospacing="0"/>
              <w:ind w:left="0" w:right="0"/>
              <w:rPr>
                <w:rFonts w:hint="default" w:cs="Times New Roman"/>
                <w:b/>
                <w:bCs/>
                <w:iCs w:val="0"/>
                <w:kern w:val="0"/>
                <w:sz w:val="20"/>
                <w:szCs w:val="20"/>
                <w:vertAlign w:val="baseline"/>
                <w:lang w:val="en-US" w:eastAsia="zh-CN" w:bidi="ar"/>
              </w:rPr>
            </w:pPr>
            <w:r>
              <w:rPr>
                <w:rFonts w:hint="eastAsia" w:cs="Times New Roman"/>
                <w:b/>
                <w:bCs/>
                <w:iCs w:val="0"/>
                <w:kern w:val="0"/>
                <w:sz w:val="20"/>
                <w:szCs w:val="20"/>
                <w:lang w:val="en-US" w:eastAsia="zh-CN" w:bidi="ar"/>
              </w:rPr>
              <w:t>The legacy maximum interruption in paging reception requirements shall be reused for HD-FDD RedCap UE with MR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6" w:type="dxa"/>
          </w:tcPr>
          <w:p>
            <w:pPr>
              <w:pStyle w:val="2"/>
              <w:keepNext w:val="0"/>
              <w:keepLines w:val="0"/>
              <w:widowControl/>
              <w:numPr>
                <w:ilvl w:val="-1"/>
                <w:numId w:val="0"/>
              </w:numPr>
              <w:suppressLineNumbers w:val="0"/>
              <w:spacing w:before="0" w:beforeLines="50" w:beforeAutospacing="0" w:afterAutospacing="0"/>
              <w:ind w:left="0" w:right="0"/>
              <w:rPr>
                <w:rFonts w:hint="default" w:cs="Times New Roman"/>
                <w:b/>
                <w:bCs/>
                <w:iCs w:val="0"/>
                <w:kern w:val="0"/>
                <w:sz w:val="20"/>
                <w:szCs w:val="20"/>
                <w:vertAlign w:val="baseline"/>
                <w:lang w:val="en-US" w:eastAsia="zh-CN" w:bidi="ar"/>
              </w:rPr>
            </w:pPr>
            <w:r>
              <w:rPr>
                <w:rFonts w:hint="eastAsia"/>
                <w:b/>
                <w:bCs/>
                <w:sz w:val="20"/>
                <w:szCs w:val="20"/>
                <w:lang w:val="en-US" w:eastAsia="zh-CN"/>
              </w:rPr>
              <w:t>HD-FDD RedCap UE with LR</w:t>
            </w:r>
          </w:p>
        </w:tc>
        <w:tc>
          <w:tcPr>
            <w:tcW w:w="4215" w:type="dxa"/>
          </w:tcPr>
          <w:p>
            <w:pPr>
              <w:pStyle w:val="2"/>
              <w:keepNext w:val="0"/>
              <w:keepLines w:val="0"/>
              <w:widowControl/>
              <w:numPr>
                <w:ilvl w:val="-1"/>
                <w:numId w:val="0"/>
              </w:numPr>
              <w:suppressLineNumbers w:val="0"/>
              <w:spacing w:before="0" w:beforeLines="50" w:beforeAutospacing="0" w:afterAutospacing="0"/>
              <w:ind w:left="0" w:right="0"/>
              <w:rPr>
                <w:rFonts w:hint="default" w:cs="Times New Roman"/>
                <w:b/>
                <w:bCs/>
                <w:iCs w:val="0"/>
                <w:kern w:val="0"/>
                <w:sz w:val="20"/>
                <w:szCs w:val="20"/>
                <w:vertAlign w:val="baseline"/>
                <w:lang w:val="en-US" w:eastAsia="zh-CN" w:bidi="ar"/>
              </w:rPr>
            </w:pPr>
            <w:r>
              <w:rPr>
                <w:rFonts w:hint="eastAsia" w:cs="Times New Roman"/>
                <w:b/>
                <w:bCs/>
                <w:iCs w:val="0"/>
                <w:kern w:val="0"/>
                <w:sz w:val="20"/>
                <w:szCs w:val="20"/>
                <w:lang w:val="en-US" w:eastAsia="zh-CN" w:bidi="ar"/>
              </w:rPr>
              <w:t>The same legacy availability rule shall be reused, then the legacy requirements on maximum interruption in paging reception can be the same.</w:t>
            </w:r>
          </w:p>
        </w:tc>
      </w:tr>
    </w:tbl>
    <w:p>
      <w:pPr>
        <w:pStyle w:val="2"/>
        <w:rPr>
          <w:rFonts w:hint="default" w:ascii="Times New Roman" w:hAnsi="Times New Roman" w:eastAsia="Times New Roman" w:cs="Times New Roman"/>
          <w:b w:val="0"/>
          <w:bCs w:val="0"/>
          <w:lang w:val="en-US" w:eastAsia="zh-CN" w:bidi="ar-SA"/>
        </w:rPr>
      </w:pPr>
    </w:p>
    <w:p>
      <w:pPr>
        <w:pStyle w:val="4"/>
        <w:rPr>
          <w:rFonts w:eastAsiaTheme="minorEastAsia"/>
          <w:sz w:val="28"/>
          <w:szCs w:val="18"/>
        </w:rPr>
      </w:pPr>
      <w:r>
        <w:rPr>
          <w:rFonts w:hint="eastAsia" w:eastAsiaTheme="minorEastAsia"/>
          <w:sz w:val="28"/>
          <w:szCs w:val="18"/>
          <w:lang w:val="en-US" w:eastAsia="zh-CN"/>
        </w:rPr>
        <w:t>UE capability</w:t>
      </w:r>
    </w:p>
    <w:p>
      <w:pPr>
        <w:pStyle w:val="2"/>
        <w:numPr>
          <w:ilvl w:val="-1"/>
          <w:numId w:val="0"/>
        </w:numPr>
        <w:spacing w:beforeLines="50"/>
        <w:rPr>
          <w:rFonts w:hint="eastAsia"/>
          <w:b w:val="0"/>
          <w:bCs w:val="0"/>
          <w:lang w:val="en-US" w:eastAsia="zh-CN"/>
        </w:rPr>
      </w:pPr>
      <w:r>
        <w:rPr>
          <w:rFonts w:hint="eastAsia"/>
          <w:b w:val="0"/>
          <w:bCs w:val="0"/>
          <w:lang w:val="en-US" w:eastAsia="zh-CN"/>
        </w:rPr>
        <w:t xml:space="preserve">we shall clarify the related UE capability before defining the related requirements. </w:t>
      </w:r>
    </w:p>
    <w:p>
      <w:pPr>
        <w:pStyle w:val="2"/>
        <w:numPr>
          <w:ilvl w:val="-1"/>
          <w:numId w:val="0"/>
        </w:numPr>
        <w:spacing w:beforeLines="50"/>
        <w:rPr>
          <w:rFonts w:hint="eastAsia"/>
          <w:b w:val="0"/>
          <w:bCs w:val="0"/>
          <w:lang w:val="en-US" w:eastAsia="zh-CN"/>
        </w:rPr>
      </w:pPr>
      <w:r>
        <w:rPr>
          <w:rFonts w:hint="eastAsia"/>
          <w:b w:val="0"/>
          <w:bCs w:val="0"/>
          <w:lang w:val="en-US" w:eastAsia="zh-CN"/>
        </w:rPr>
        <w:t>In my opinion, for the normal UE with LP-WUS, RAN4 shall not consider the related UE capability firstly since RAN1 is under discussion. RAN4 could wait for RAN1</w:t>
      </w:r>
      <w:r>
        <w:rPr>
          <w:rFonts w:hint="default"/>
          <w:b w:val="0"/>
          <w:bCs w:val="0"/>
          <w:lang w:val="en-US" w:eastAsia="zh-CN"/>
        </w:rPr>
        <w:t>’</w:t>
      </w:r>
      <w:r>
        <w:rPr>
          <w:rFonts w:hint="eastAsia"/>
          <w:b w:val="0"/>
          <w:bCs w:val="0"/>
          <w:lang w:val="en-US" w:eastAsia="zh-CN"/>
        </w:rPr>
        <w:t>s final decision and then to decide whether to define UE capability. For RedCap UE with LP-WUS, to our understanding, if the UE supports feature group 26 (R17 RedCap)/feature group 28 (R18 RedCap) and feature group 62 (R19 LP-WUS), then the requirements for RedCap with LP-WUS can be applied instead of introducing new capability. However, the discussion on RedCap UE with LP-WUS capability is not observed in RAN1, maybe RAN4 could define this or send LS to RAN1 to define this. Of course, this feature only apply for R19 UEs not for R17 or R18 UEs.</w:t>
      </w:r>
    </w:p>
    <w:p>
      <w:pPr>
        <w:pStyle w:val="2"/>
        <w:numPr>
          <w:ilvl w:val="-1"/>
          <w:numId w:val="0"/>
        </w:numPr>
        <w:spacing w:beforeLines="50"/>
        <w:rPr>
          <w:rFonts w:hint="default"/>
          <w:b/>
          <w:bCs/>
          <w:lang w:val="en-US" w:eastAsia="zh-CN"/>
        </w:rPr>
      </w:pPr>
      <w:r>
        <w:rPr>
          <w:rFonts w:hint="eastAsia"/>
          <w:b/>
          <w:bCs/>
          <w:lang w:val="en-US" w:eastAsia="zh-CN"/>
        </w:rPr>
        <w:t>Observation 6: For normal UE with LP-WUS, RAN1 is discussing the UE capability.</w:t>
      </w:r>
    </w:p>
    <w:p>
      <w:pPr>
        <w:pStyle w:val="2"/>
        <w:numPr>
          <w:ilvl w:val="-1"/>
          <w:numId w:val="0"/>
        </w:numPr>
        <w:spacing w:beforeLines="50"/>
        <w:rPr>
          <w:rFonts w:hint="default"/>
          <w:b/>
          <w:bCs/>
          <w:lang w:val="en-US" w:eastAsia="zh-CN"/>
        </w:rPr>
      </w:pPr>
      <w:r>
        <w:rPr>
          <w:rFonts w:hint="eastAsia"/>
          <w:b/>
          <w:bCs/>
          <w:lang w:val="en-US" w:eastAsia="zh-CN"/>
        </w:rPr>
        <w:t>Observation 7: For RedCap UE capability with LP-WUS, the UE capability among R17 RedCap, R18 RedCap and R19 LP-WUS are independently. The discussion on RedCap UE with LP-WUS capability is not observed in RAN1.</w:t>
      </w:r>
    </w:p>
    <w:p>
      <w:pPr>
        <w:pStyle w:val="2"/>
        <w:numPr>
          <w:ilvl w:val="-1"/>
          <w:numId w:val="0"/>
        </w:numPr>
        <w:spacing w:beforeLines="50"/>
        <w:rPr>
          <w:rFonts w:hint="default"/>
          <w:b/>
          <w:bCs/>
          <w:lang w:val="en-US" w:eastAsia="zh-CN"/>
        </w:rPr>
      </w:pPr>
      <w:r>
        <w:rPr>
          <w:rFonts w:hint="eastAsia"/>
          <w:b/>
          <w:bCs/>
          <w:lang w:val="en-US" w:eastAsia="zh-CN"/>
        </w:rPr>
        <w:t>Proposal 7:</w:t>
      </w:r>
      <w:r>
        <w:rPr>
          <w:rFonts w:hint="eastAsia"/>
          <w:b/>
          <w:bCs/>
          <w:highlight w:val="none"/>
          <w:lang w:val="en-US" w:eastAsia="zh-CN"/>
        </w:rPr>
        <w:t xml:space="preserve"> </w:t>
      </w:r>
      <w:r>
        <w:rPr>
          <w:rFonts w:hint="eastAsia"/>
          <w:b/>
          <w:bCs/>
          <w:lang w:val="en-US" w:eastAsia="zh-CN"/>
        </w:rPr>
        <w:t>For UE with LP-WUS, RAN4 shall wait for RAN1</w:t>
      </w:r>
      <w:r>
        <w:rPr>
          <w:rFonts w:hint="default"/>
          <w:b/>
          <w:bCs/>
          <w:lang w:val="en-US" w:eastAsia="zh-CN"/>
        </w:rPr>
        <w:t>’</w:t>
      </w:r>
      <w:r>
        <w:rPr>
          <w:rFonts w:hint="eastAsia"/>
          <w:b/>
          <w:bCs/>
          <w:lang w:val="en-US" w:eastAsia="zh-CN"/>
        </w:rPr>
        <w:t xml:space="preserve">s discussion on UE capability. The new UE capability shall not be introduced. </w:t>
      </w:r>
    </w:p>
    <w:p>
      <w:pPr>
        <w:pStyle w:val="2"/>
        <w:numPr>
          <w:ilvl w:val="-1"/>
          <w:numId w:val="0"/>
        </w:numPr>
        <w:spacing w:beforeLines="50"/>
        <w:rPr>
          <w:rFonts w:hint="default" w:cs="Times New Roman"/>
          <w:bCs w:val="0"/>
          <w:iCs w:val="0"/>
          <w:kern w:val="0"/>
          <w:sz w:val="20"/>
          <w:szCs w:val="20"/>
          <w:lang w:val="en-US" w:eastAsia="zh-CN" w:bidi="ar"/>
        </w:rPr>
      </w:pPr>
      <w:r>
        <w:rPr>
          <w:rFonts w:hint="eastAsia"/>
          <w:b/>
          <w:bCs/>
          <w:lang w:val="en-US" w:eastAsia="zh-CN"/>
        </w:rPr>
        <w:t>Proposal 8: The feature for RedCap UE with LP-WUS only applies for R19 UEs not for R17/R18 UEs.</w:t>
      </w:r>
    </w:p>
    <w:p>
      <w:pPr>
        <w:pStyle w:val="3"/>
      </w:pPr>
      <w:r>
        <w:t>Conclusion</w:t>
      </w:r>
    </w:p>
    <w:p>
      <w:pPr>
        <w:spacing w:before="120" w:after="120"/>
        <w:rPr>
          <w:rFonts w:eastAsia="宋体"/>
          <w:lang w:eastAsia="zh-CN"/>
        </w:rPr>
      </w:pPr>
      <w:r>
        <w:rPr>
          <w:rFonts w:eastAsia="宋体"/>
          <w:sz w:val="22"/>
          <w:szCs w:val="22"/>
          <w:lang w:eastAsia="zh-CN"/>
        </w:rPr>
        <w:t xml:space="preserve">In this paper we provided our views on </w:t>
      </w:r>
      <w:r>
        <w:rPr>
          <w:rFonts w:eastAsia="宋体"/>
          <w:sz w:val="22"/>
          <w:szCs w:val="22"/>
          <w:lang w:val="en-US" w:eastAsia="zh-CN"/>
        </w:rPr>
        <w:t>LPWUS</w:t>
      </w:r>
      <w:r>
        <w:rPr>
          <w:rFonts w:eastAsia="宋体"/>
          <w:lang w:eastAsia="zh-CN"/>
        </w:rPr>
        <w:t>.</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textAlignment w:val="auto"/>
        <w:rPr>
          <w:rFonts w:hint="eastAsia"/>
          <w:b/>
          <w:bCs/>
          <w:lang w:val="en-US" w:eastAsia="zh-CN"/>
        </w:rPr>
      </w:pPr>
      <w:r>
        <w:rPr>
          <w:rFonts w:hint="eastAsia"/>
          <w:b/>
          <w:bCs/>
          <w:lang w:val="en-US" w:eastAsia="zh-CN"/>
        </w:rPr>
        <w:t>Observation 1: The channel condition shall be guaranteed if LR is ON and performs serving cell measurement.</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textAlignment w:val="auto"/>
        <w:rPr>
          <w:rFonts w:hint="default"/>
          <w:b/>
          <w:bCs/>
          <w:lang w:val="en-US" w:eastAsia="zh-CN"/>
        </w:rPr>
      </w:pPr>
      <w:r>
        <w:rPr>
          <w:rFonts w:hint="eastAsia"/>
          <w:b/>
          <w:bCs/>
          <w:lang w:val="en-US" w:eastAsia="zh-CN"/>
        </w:rPr>
        <w:t>Observation 2: If LR performs serving cell measurement at legacy case, how to guarantee the channel condition in legacy case and how to ensure the measurement accuracy by LR constitute the main concern.</w:t>
      </w:r>
    </w:p>
    <w:p>
      <w:pPr>
        <w:rPr>
          <w:rFonts w:hint="eastAsia"/>
          <w:lang w:val="en-US" w:eastAsia="zh-CN"/>
        </w:rPr>
      </w:pPr>
      <w:r>
        <w:rPr>
          <w:rFonts w:hint="eastAsia"/>
          <w:b/>
          <w:bCs/>
          <w:lang w:val="en-US" w:eastAsia="zh-CN"/>
        </w:rPr>
        <w:t>Proposal 1: RAN4 shall not define the RRM requirements if LR is ON at legacy case.</w:t>
      </w:r>
    </w:p>
    <w:p>
      <w:pPr>
        <w:pStyle w:val="2"/>
        <w:rPr>
          <w:rFonts w:hint="eastAsia"/>
          <w:b/>
          <w:bCs/>
          <w:lang w:val="en-US" w:eastAsia="zh-CN"/>
        </w:rPr>
      </w:pPr>
      <w:r>
        <w:rPr>
          <w:rFonts w:hint="eastAsia"/>
          <w:b/>
          <w:bCs/>
          <w:lang w:val="en-US" w:eastAsia="zh-CN"/>
        </w:rPr>
        <w:t>Observation 3: If the communication quality can not be guaranteed, the power saving gain would not be considered, and we do not think if the upper bound is settled, the power consumption will be largely increased.</w:t>
      </w:r>
    </w:p>
    <w:p>
      <w:pPr>
        <w:pStyle w:val="2"/>
        <w:rPr>
          <w:rFonts w:hint="eastAsia"/>
          <w:b/>
          <w:bCs/>
          <w:lang w:val="en-US" w:eastAsia="zh-CN"/>
        </w:rPr>
      </w:pPr>
      <w:r>
        <w:rPr>
          <w:rFonts w:hint="eastAsia"/>
          <w:b/>
          <w:bCs/>
          <w:lang w:val="en-US" w:eastAsia="zh-CN"/>
        </w:rPr>
        <w:t>Proposal 2: The upper bound is needed on SSB-based LP-WUR measurement periodicity if LP-SS is not configured.</w:t>
      </w:r>
    </w:p>
    <w:p>
      <w:pPr>
        <w:pStyle w:val="2"/>
        <w:spacing w:beforeLines="50"/>
        <w:rPr>
          <w:rFonts w:hint="eastAsia"/>
          <w:b/>
          <w:bCs/>
          <w:lang w:val="en-US" w:eastAsia="zh-CN"/>
        </w:rPr>
      </w:pPr>
      <w:r>
        <w:rPr>
          <w:rFonts w:hint="eastAsia"/>
          <w:b/>
          <w:bCs/>
          <w:lang w:val="en-US" w:eastAsia="zh-CN"/>
        </w:rPr>
        <w:t>Proposal 3: We are open to consider RRM requirements on FR2.</w:t>
      </w:r>
    </w:p>
    <w:p>
      <w:pPr>
        <w:pStyle w:val="2"/>
        <w:spacing w:beforeLines="50"/>
        <w:rPr>
          <w:rFonts w:hint="eastAsia"/>
          <w:b/>
          <w:bCs/>
          <w:lang w:val="en-US" w:eastAsia="zh-CN"/>
        </w:rPr>
      </w:pPr>
      <w:r>
        <w:rPr>
          <w:rFonts w:hint="eastAsia"/>
          <w:b/>
          <w:bCs/>
          <w:lang w:val="en-US" w:eastAsia="zh-CN"/>
        </w:rPr>
        <w:t>Observation 4: RF session has already defined the IM margin as 2.5dB.</w:t>
      </w:r>
    </w:p>
    <w:p>
      <w:pPr>
        <w:pStyle w:val="2"/>
        <w:spacing w:beforeLines="50"/>
        <w:rPr>
          <w:rFonts w:hint="default"/>
          <w:b/>
          <w:bCs/>
          <w:lang w:val="en-US" w:eastAsia="zh-CN"/>
        </w:rPr>
      </w:pPr>
      <w:r>
        <w:rPr>
          <w:rFonts w:hint="eastAsia"/>
          <w:b/>
          <w:bCs/>
          <w:lang w:val="en-US" w:eastAsia="zh-CN"/>
        </w:rPr>
        <w:t>Observation 5: If the RF margin is large, the MAPL will be decreased and the communication coverage will be decreased. If the same coverage is ensured under different RF margin, the power consumption will be increased, which is not good to power saving neither for network nor UE.</w:t>
      </w:r>
    </w:p>
    <w:p>
      <w:pPr>
        <w:pStyle w:val="2"/>
        <w:spacing w:beforeLines="50"/>
        <w:rPr>
          <w:rFonts w:eastAsia="宋体"/>
          <w:b/>
          <w:bCs/>
          <w:color w:val="000000"/>
          <w:szCs w:val="21"/>
          <w:lang w:val="en-US"/>
        </w:rPr>
      </w:pPr>
      <w:r>
        <w:rPr>
          <w:rFonts w:hint="eastAsia"/>
          <w:b/>
          <w:bCs/>
          <w:lang w:val="en-US" w:eastAsia="zh-CN"/>
        </w:rPr>
        <w:t xml:space="preserve">Proposal 4: </w:t>
      </w:r>
      <w:r>
        <w:rPr>
          <w:rFonts w:eastAsia="宋体"/>
          <w:b/>
          <w:bCs/>
          <w:color w:val="000000"/>
          <w:szCs w:val="21"/>
          <w:lang w:val="en-US"/>
        </w:rPr>
        <w:t>Use 2.5 dB as the RF impairment margin for LP-RSRP accuracy requirements.</w:t>
      </w:r>
    </w:p>
    <w:p>
      <w:pPr>
        <w:pStyle w:val="2"/>
        <w:spacing w:beforeLines="50"/>
        <w:rPr>
          <w:rFonts w:hint="default" w:eastAsia="宋体"/>
          <w:b/>
          <w:bCs/>
          <w:color w:val="000000"/>
          <w:szCs w:val="21"/>
          <w:lang w:val="en-US"/>
        </w:rPr>
      </w:pPr>
      <w:r>
        <w:rPr>
          <w:rFonts w:hint="eastAsia" w:eastAsia="宋体"/>
          <w:b/>
          <w:bCs/>
          <w:color w:val="000000"/>
          <w:szCs w:val="21"/>
          <w:lang w:val="en-US" w:eastAsia="zh-CN"/>
        </w:rPr>
        <w:t>Proposal 5: The m</w:t>
      </w:r>
      <w:r>
        <w:rPr>
          <w:rFonts w:hint="eastAsia" w:eastAsia="宋体"/>
          <w:b/>
          <w:bCs/>
          <w:color w:val="000000"/>
          <w:szCs w:val="21"/>
          <w:lang w:val="en-US"/>
        </w:rPr>
        <w:t>aximum interruption in paging reception</w:t>
      </w:r>
      <w:r>
        <w:rPr>
          <w:rFonts w:hint="eastAsia" w:eastAsia="宋体"/>
          <w:b/>
          <w:bCs/>
          <w:color w:val="000000"/>
          <w:szCs w:val="21"/>
          <w:lang w:val="en-US" w:eastAsia="zh-CN"/>
        </w:rPr>
        <w:t xml:space="preserve"> requirements shall be reused in LP-WUS.</w:t>
      </w:r>
    </w:p>
    <w:p>
      <w:pPr>
        <w:pStyle w:val="2"/>
        <w:numPr>
          <w:ilvl w:val="-1"/>
          <w:numId w:val="0"/>
        </w:numPr>
        <w:spacing w:beforeLines="50"/>
        <w:rPr>
          <w:rFonts w:hint="eastAsia" w:cs="Times New Roman"/>
          <w:b/>
          <w:bCs/>
          <w:iCs w:val="0"/>
          <w:kern w:val="0"/>
          <w:sz w:val="20"/>
          <w:szCs w:val="20"/>
          <w:lang w:val="en-US" w:eastAsia="zh-CN" w:bidi="ar"/>
        </w:rPr>
      </w:pPr>
      <w:r>
        <w:rPr>
          <w:rFonts w:hint="eastAsia" w:cs="Times New Roman"/>
          <w:b/>
          <w:bCs/>
          <w:iCs w:val="0"/>
          <w:kern w:val="0"/>
          <w:sz w:val="20"/>
          <w:szCs w:val="20"/>
          <w:lang w:val="en-US" w:eastAsia="zh-CN" w:bidi="ar"/>
        </w:rPr>
        <w:t>Proposal 6: RAN4 shall cosnsider RedCap UEs with MR/LR, there are six cases shall be considered, the following table shall be considered:</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56"/>
        <w:gridCol w:w="4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6" w:type="dxa"/>
          </w:tcPr>
          <w:p>
            <w:pPr>
              <w:pStyle w:val="2"/>
              <w:keepNext w:val="0"/>
              <w:keepLines w:val="0"/>
              <w:widowControl/>
              <w:numPr>
                <w:ilvl w:val="-1"/>
                <w:numId w:val="0"/>
              </w:numPr>
              <w:suppressLineNumbers w:val="0"/>
              <w:spacing w:before="0" w:beforeLines="50" w:beforeAutospacing="0" w:afterAutospacing="0"/>
              <w:ind w:left="0" w:right="0"/>
              <w:rPr>
                <w:rFonts w:hint="default" w:cs="Times New Roman"/>
                <w:b/>
                <w:bCs/>
                <w:iCs w:val="0"/>
                <w:kern w:val="0"/>
                <w:sz w:val="20"/>
                <w:szCs w:val="20"/>
                <w:vertAlign w:val="baseline"/>
                <w:lang w:val="en-US" w:eastAsia="zh-CN" w:bidi="ar"/>
              </w:rPr>
            </w:pPr>
            <w:r>
              <w:rPr>
                <w:rFonts w:hint="eastAsia" w:cs="Times New Roman"/>
                <w:b/>
                <w:bCs/>
                <w:iCs w:val="0"/>
                <w:kern w:val="0"/>
                <w:sz w:val="20"/>
                <w:szCs w:val="20"/>
                <w:vertAlign w:val="baseline"/>
                <w:lang w:val="en-US" w:eastAsia="zh-CN" w:bidi="ar"/>
              </w:rPr>
              <w:t>Cases</w:t>
            </w:r>
          </w:p>
        </w:tc>
        <w:tc>
          <w:tcPr>
            <w:tcW w:w="4215" w:type="dxa"/>
          </w:tcPr>
          <w:p>
            <w:pPr>
              <w:pStyle w:val="2"/>
              <w:keepNext w:val="0"/>
              <w:keepLines w:val="0"/>
              <w:widowControl/>
              <w:numPr>
                <w:ilvl w:val="-1"/>
                <w:numId w:val="0"/>
              </w:numPr>
              <w:suppressLineNumbers w:val="0"/>
              <w:spacing w:before="0" w:beforeLines="50" w:beforeAutospacing="0" w:afterAutospacing="0"/>
              <w:ind w:left="0" w:right="0"/>
              <w:rPr>
                <w:rFonts w:hint="default" w:cs="Times New Roman"/>
                <w:b/>
                <w:bCs/>
                <w:iCs w:val="0"/>
                <w:kern w:val="0"/>
                <w:sz w:val="20"/>
                <w:szCs w:val="20"/>
                <w:vertAlign w:val="baseline"/>
                <w:lang w:val="en-US" w:eastAsia="zh-CN" w:bidi="ar"/>
              </w:rPr>
            </w:pPr>
            <w:r>
              <w:rPr>
                <w:rFonts w:hint="eastAsia" w:cs="Times New Roman"/>
                <w:b/>
                <w:bCs/>
                <w:iCs w:val="0"/>
                <w:kern w:val="0"/>
                <w:sz w:val="20"/>
                <w:szCs w:val="20"/>
                <w:vertAlign w:val="baseline"/>
                <w:lang w:val="en-US" w:eastAsia="zh-CN" w:bidi="ar"/>
              </w:rPr>
              <w:t>Requirements to define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6" w:type="dxa"/>
          </w:tcPr>
          <w:p>
            <w:pPr>
              <w:pStyle w:val="2"/>
              <w:keepNext w:val="0"/>
              <w:keepLines w:val="0"/>
              <w:widowControl/>
              <w:numPr>
                <w:ilvl w:val="-1"/>
                <w:numId w:val="0"/>
              </w:numPr>
              <w:suppressLineNumbers w:val="0"/>
              <w:spacing w:before="0" w:beforeLines="50" w:beforeAutospacing="0" w:afterAutospacing="0"/>
              <w:ind w:left="0" w:right="0"/>
              <w:rPr>
                <w:rFonts w:hint="default" w:cs="Times New Roman"/>
                <w:b/>
                <w:bCs/>
                <w:iCs w:val="0"/>
                <w:kern w:val="0"/>
                <w:sz w:val="20"/>
                <w:szCs w:val="20"/>
                <w:vertAlign w:val="baseline"/>
                <w:lang w:val="en-US" w:eastAsia="zh-CN" w:bidi="ar"/>
              </w:rPr>
            </w:pPr>
            <w:r>
              <w:rPr>
                <w:rFonts w:hint="eastAsia"/>
                <w:b/>
                <w:bCs/>
                <w:sz w:val="20"/>
                <w:szCs w:val="20"/>
                <w:lang w:val="en-US" w:eastAsia="zh-CN"/>
              </w:rPr>
              <w:t>2Rx RedCap UE with MR</w:t>
            </w:r>
          </w:p>
        </w:tc>
        <w:tc>
          <w:tcPr>
            <w:tcW w:w="4215" w:type="dxa"/>
          </w:tcPr>
          <w:p>
            <w:pPr>
              <w:pStyle w:val="2"/>
              <w:keepNext w:val="0"/>
              <w:keepLines w:val="0"/>
              <w:widowControl/>
              <w:numPr>
                <w:ilvl w:val="0"/>
                <w:numId w:val="14"/>
              </w:numPr>
              <w:suppressLineNumbers w:val="0"/>
              <w:spacing w:before="0" w:beforeLines="50" w:beforeAutospacing="0" w:afterAutospacing="0"/>
              <w:ind w:left="0" w:right="0"/>
              <w:rPr>
                <w:rFonts w:hint="default" w:cs="Times New Roman"/>
                <w:b/>
                <w:bCs/>
                <w:iCs w:val="0"/>
                <w:kern w:val="0"/>
                <w:sz w:val="20"/>
                <w:szCs w:val="20"/>
                <w:vertAlign w:val="baseline"/>
                <w:lang w:val="en-US" w:eastAsia="zh-CN" w:bidi="ar"/>
              </w:rPr>
            </w:pPr>
            <w:r>
              <w:rPr>
                <w:rFonts w:hint="eastAsia" w:cs="Times New Roman"/>
                <w:b/>
                <w:bCs/>
                <w:iCs w:val="0"/>
                <w:kern w:val="0"/>
                <w:sz w:val="20"/>
                <w:szCs w:val="20"/>
                <w:vertAlign w:val="baseline"/>
                <w:lang w:val="en-US" w:eastAsia="zh-CN" w:bidi="ar"/>
              </w:rPr>
              <w:t>Reused legacy 2Rx RedCap UE RRM requirements;</w:t>
            </w:r>
          </w:p>
          <w:p>
            <w:pPr>
              <w:pStyle w:val="2"/>
              <w:keepNext w:val="0"/>
              <w:keepLines w:val="0"/>
              <w:widowControl/>
              <w:numPr>
                <w:ilvl w:val="0"/>
                <w:numId w:val="14"/>
              </w:numPr>
              <w:suppressLineNumbers w:val="0"/>
              <w:spacing w:before="0" w:beforeLines="50" w:beforeAutospacing="0" w:afterAutospacing="0"/>
              <w:ind w:left="0" w:right="0"/>
              <w:rPr>
                <w:rFonts w:hint="default" w:cs="Times New Roman"/>
                <w:b/>
                <w:bCs/>
                <w:iCs w:val="0"/>
                <w:kern w:val="0"/>
                <w:sz w:val="20"/>
                <w:szCs w:val="20"/>
                <w:vertAlign w:val="baseline"/>
                <w:lang w:val="en-US" w:eastAsia="zh-CN" w:bidi="ar"/>
              </w:rPr>
            </w:pPr>
            <w:r>
              <w:rPr>
                <w:rFonts w:hint="eastAsia" w:cs="Times New Roman"/>
                <w:b/>
                <w:bCs/>
                <w:iCs w:val="0"/>
                <w:kern w:val="0"/>
                <w:sz w:val="20"/>
                <w:szCs w:val="20"/>
                <w:vertAlign w:val="baseline"/>
                <w:lang w:val="en-US" w:eastAsia="zh-CN" w:bidi="ar"/>
              </w:rPr>
              <w:t>Reused wake up delay requirements (the number of 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6" w:type="dxa"/>
          </w:tcPr>
          <w:p>
            <w:pPr>
              <w:pStyle w:val="2"/>
              <w:keepNext w:val="0"/>
              <w:keepLines w:val="0"/>
              <w:widowControl/>
              <w:numPr>
                <w:ilvl w:val="-1"/>
                <w:numId w:val="0"/>
              </w:numPr>
              <w:suppressLineNumbers w:val="0"/>
              <w:spacing w:before="0" w:beforeLines="50" w:beforeAutospacing="0" w:afterAutospacing="0"/>
              <w:ind w:left="0" w:right="0"/>
              <w:rPr>
                <w:rFonts w:hint="default" w:cs="Times New Roman"/>
                <w:b/>
                <w:bCs/>
                <w:iCs w:val="0"/>
                <w:kern w:val="0"/>
                <w:sz w:val="20"/>
                <w:szCs w:val="20"/>
                <w:vertAlign w:val="baseline"/>
                <w:lang w:val="en-US" w:eastAsia="zh-CN" w:bidi="ar"/>
              </w:rPr>
            </w:pPr>
            <w:r>
              <w:rPr>
                <w:rFonts w:hint="eastAsia"/>
                <w:b/>
                <w:bCs/>
                <w:sz w:val="20"/>
                <w:szCs w:val="20"/>
                <w:lang w:val="en-US" w:eastAsia="zh-CN"/>
              </w:rPr>
              <w:t>1Rx RedCap UE with MR</w:t>
            </w:r>
          </w:p>
        </w:tc>
        <w:tc>
          <w:tcPr>
            <w:tcW w:w="4215" w:type="dxa"/>
          </w:tcPr>
          <w:p>
            <w:pPr>
              <w:pStyle w:val="2"/>
              <w:keepNext w:val="0"/>
              <w:keepLines w:val="0"/>
              <w:widowControl/>
              <w:numPr>
                <w:ilvl w:val="0"/>
                <w:numId w:val="15"/>
              </w:numPr>
              <w:suppressLineNumbers w:val="0"/>
              <w:spacing w:before="0" w:beforeLines="50" w:beforeAutospacing="0" w:afterAutospacing="0"/>
              <w:ind w:left="0" w:right="0"/>
              <w:rPr>
                <w:rFonts w:hint="default" w:cs="Times New Roman"/>
                <w:b/>
                <w:bCs/>
                <w:iCs w:val="0"/>
                <w:kern w:val="0"/>
                <w:sz w:val="20"/>
                <w:szCs w:val="20"/>
                <w:vertAlign w:val="baseline"/>
                <w:lang w:val="en-US" w:eastAsia="zh-CN" w:bidi="ar"/>
              </w:rPr>
            </w:pPr>
            <w:r>
              <w:rPr>
                <w:rFonts w:hint="eastAsia"/>
                <w:b/>
                <w:bCs/>
                <w:sz w:val="20"/>
                <w:szCs w:val="20"/>
                <w:lang w:val="en-US" w:eastAsia="zh-CN"/>
              </w:rPr>
              <w:t>the requirements for 1Rx RedCap UE with MR is the same as 1Rx RedCap UE in legacy with specific side conditions.</w:t>
            </w:r>
          </w:p>
          <w:p>
            <w:pPr>
              <w:pStyle w:val="2"/>
              <w:keepNext w:val="0"/>
              <w:keepLines w:val="0"/>
              <w:widowControl/>
              <w:numPr>
                <w:ilvl w:val="0"/>
                <w:numId w:val="15"/>
              </w:numPr>
              <w:suppressLineNumbers w:val="0"/>
              <w:spacing w:before="0" w:beforeLines="50" w:beforeAutospacing="0" w:afterAutospacing="0"/>
              <w:ind w:left="0" w:right="0"/>
              <w:rPr>
                <w:rFonts w:hint="default" w:cs="Times New Roman"/>
                <w:b/>
                <w:bCs/>
                <w:iCs w:val="0"/>
                <w:kern w:val="0"/>
                <w:sz w:val="20"/>
                <w:szCs w:val="20"/>
                <w:vertAlign w:val="baseline"/>
                <w:lang w:val="en-US" w:eastAsia="zh-CN" w:bidi="ar"/>
              </w:rPr>
            </w:pPr>
            <w:r>
              <w:rPr>
                <w:rFonts w:hint="eastAsia" w:cs="Times New Roman"/>
                <w:b/>
                <w:bCs/>
                <w:iCs w:val="0"/>
                <w:kern w:val="0"/>
                <w:sz w:val="20"/>
                <w:szCs w:val="20"/>
                <w:vertAlign w:val="baseline"/>
                <w:lang w:val="en-US" w:eastAsia="zh-CN" w:bidi="ar"/>
              </w:rPr>
              <w:t>Reused wake up delay requirements (the number of SSB)</w:t>
            </w:r>
          </w:p>
          <w:p>
            <w:pPr>
              <w:pStyle w:val="2"/>
              <w:keepNext w:val="0"/>
              <w:keepLines w:val="0"/>
              <w:widowControl/>
              <w:numPr>
                <w:ilvl w:val="0"/>
                <w:numId w:val="15"/>
              </w:numPr>
              <w:suppressLineNumbers w:val="0"/>
              <w:spacing w:before="0" w:beforeLines="50" w:beforeAutospacing="0" w:afterAutospacing="0"/>
              <w:ind w:left="0" w:right="0"/>
              <w:rPr>
                <w:rFonts w:hint="default" w:cs="Times New Roman"/>
                <w:b/>
                <w:bCs/>
                <w:iCs w:val="0"/>
                <w:kern w:val="0"/>
                <w:sz w:val="20"/>
                <w:szCs w:val="20"/>
                <w:vertAlign w:val="baseline"/>
                <w:lang w:val="en-US" w:eastAsia="zh-CN" w:bidi="ar"/>
              </w:rPr>
            </w:pPr>
            <w:r>
              <w:rPr>
                <w:rFonts w:hint="eastAsia" w:cs="Times New Roman"/>
                <w:b/>
                <w:bCs/>
                <w:iCs w:val="0"/>
                <w:kern w:val="0"/>
                <w:sz w:val="20"/>
                <w:szCs w:val="20"/>
                <w:vertAlign w:val="baseline"/>
                <w:lang w:val="en-US" w:eastAsia="zh-CN" w:bidi="ar"/>
              </w:rPr>
              <w:t>RAN4 shall define the specific side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6" w:type="dxa"/>
          </w:tcPr>
          <w:p>
            <w:pPr>
              <w:pStyle w:val="2"/>
              <w:keepNext w:val="0"/>
              <w:keepLines w:val="0"/>
              <w:widowControl/>
              <w:numPr>
                <w:ilvl w:val="-1"/>
                <w:numId w:val="0"/>
              </w:numPr>
              <w:suppressLineNumbers w:val="0"/>
              <w:spacing w:before="0" w:beforeLines="50" w:beforeAutospacing="0" w:afterAutospacing="0"/>
              <w:ind w:left="0" w:right="0"/>
              <w:rPr>
                <w:rFonts w:hint="default" w:cs="Times New Roman"/>
                <w:b/>
                <w:bCs/>
                <w:iCs w:val="0"/>
                <w:kern w:val="0"/>
                <w:sz w:val="20"/>
                <w:szCs w:val="20"/>
                <w:vertAlign w:val="baseline"/>
                <w:lang w:val="en-US" w:eastAsia="zh-CN" w:bidi="ar"/>
              </w:rPr>
            </w:pPr>
            <w:r>
              <w:rPr>
                <w:rFonts w:hint="eastAsia"/>
                <w:b/>
                <w:bCs/>
                <w:sz w:val="20"/>
                <w:szCs w:val="20"/>
                <w:lang w:val="en-US" w:eastAsia="zh-CN"/>
              </w:rPr>
              <w:t>1Rx RedCap UE with LR</w:t>
            </w:r>
          </w:p>
        </w:tc>
        <w:tc>
          <w:tcPr>
            <w:tcW w:w="4215" w:type="dxa"/>
          </w:tcPr>
          <w:p>
            <w:pPr>
              <w:pStyle w:val="2"/>
              <w:keepNext w:val="0"/>
              <w:keepLines w:val="0"/>
              <w:widowControl/>
              <w:numPr>
                <w:ilvl w:val="-1"/>
                <w:numId w:val="0"/>
              </w:numPr>
              <w:suppressLineNumbers w:val="0"/>
              <w:spacing w:before="0" w:beforeLines="50" w:beforeAutospacing="0" w:afterAutospacing="0"/>
              <w:ind w:left="0" w:right="0"/>
              <w:rPr>
                <w:rFonts w:hint="default" w:cs="Times New Roman"/>
                <w:b/>
                <w:bCs/>
                <w:iCs w:val="0"/>
                <w:kern w:val="0"/>
                <w:sz w:val="20"/>
                <w:szCs w:val="20"/>
                <w:vertAlign w:val="baseline"/>
                <w:lang w:val="en-US" w:eastAsia="zh-CN" w:bidi="ar"/>
              </w:rPr>
            </w:pPr>
            <w:r>
              <w:rPr>
                <w:rFonts w:hint="eastAsia" w:cs="Times New Roman"/>
                <w:b/>
                <w:bCs/>
                <w:iCs w:val="0"/>
                <w:kern w:val="0"/>
                <w:sz w:val="20"/>
                <w:szCs w:val="20"/>
                <w:lang w:val="en-US" w:eastAsia="zh-CN" w:bidi="ar"/>
              </w:rPr>
              <w:t>The requirements for normal UE with LR could be reused for 1Rx RedCap UE with LR.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6" w:type="dxa"/>
          </w:tcPr>
          <w:p>
            <w:pPr>
              <w:pStyle w:val="2"/>
              <w:keepNext w:val="0"/>
              <w:keepLines w:val="0"/>
              <w:widowControl/>
              <w:numPr>
                <w:ilvl w:val="-1"/>
                <w:numId w:val="0"/>
              </w:numPr>
              <w:suppressLineNumbers w:val="0"/>
              <w:spacing w:before="0" w:beforeLines="50" w:beforeAutospacing="0" w:afterAutospacing="0"/>
              <w:ind w:left="0" w:right="0"/>
              <w:rPr>
                <w:rFonts w:hint="default" w:cs="Times New Roman"/>
                <w:b/>
                <w:bCs/>
                <w:iCs w:val="0"/>
                <w:kern w:val="0"/>
                <w:sz w:val="20"/>
                <w:szCs w:val="20"/>
                <w:vertAlign w:val="baseline"/>
                <w:lang w:val="en-US" w:eastAsia="zh-CN" w:bidi="ar"/>
              </w:rPr>
            </w:pPr>
            <w:r>
              <w:rPr>
                <w:rFonts w:hint="eastAsia"/>
                <w:b/>
                <w:bCs/>
                <w:sz w:val="20"/>
                <w:szCs w:val="20"/>
                <w:lang w:val="en-US" w:eastAsia="zh-CN"/>
              </w:rPr>
              <w:t>HD-FDD RedCap UE with MR</w:t>
            </w:r>
          </w:p>
        </w:tc>
        <w:tc>
          <w:tcPr>
            <w:tcW w:w="4215" w:type="dxa"/>
          </w:tcPr>
          <w:p>
            <w:pPr>
              <w:pStyle w:val="2"/>
              <w:keepNext w:val="0"/>
              <w:keepLines w:val="0"/>
              <w:widowControl/>
              <w:numPr>
                <w:ilvl w:val="-1"/>
                <w:numId w:val="0"/>
              </w:numPr>
              <w:suppressLineNumbers w:val="0"/>
              <w:spacing w:before="0" w:beforeLines="50" w:beforeAutospacing="0" w:afterAutospacing="0"/>
              <w:ind w:left="0" w:right="0"/>
              <w:rPr>
                <w:rFonts w:hint="default" w:cs="Times New Roman"/>
                <w:b/>
                <w:bCs/>
                <w:iCs w:val="0"/>
                <w:kern w:val="0"/>
                <w:sz w:val="20"/>
                <w:szCs w:val="20"/>
                <w:vertAlign w:val="baseline"/>
                <w:lang w:val="en-US" w:eastAsia="zh-CN" w:bidi="ar"/>
              </w:rPr>
            </w:pPr>
            <w:r>
              <w:rPr>
                <w:rFonts w:hint="eastAsia" w:cs="Times New Roman"/>
                <w:b/>
                <w:bCs/>
                <w:iCs w:val="0"/>
                <w:kern w:val="0"/>
                <w:sz w:val="20"/>
                <w:szCs w:val="20"/>
                <w:lang w:val="en-US" w:eastAsia="zh-CN" w:bidi="ar"/>
              </w:rPr>
              <w:t>The legacy maximum interruption in paging reception requirements shall be reused for HD-FDD RedCap UE with MR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6" w:type="dxa"/>
          </w:tcPr>
          <w:p>
            <w:pPr>
              <w:pStyle w:val="2"/>
              <w:keepNext w:val="0"/>
              <w:keepLines w:val="0"/>
              <w:widowControl/>
              <w:numPr>
                <w:ilvl w:val="-1"/>
                <w:numId w:val="0"/>
              </w:numPr>
              <w:suppressLineNumbers w:val="0"/>
              <w:spacing w:before="0" w:beforeLines="50" w:beforeAutospacing="0" w:afterAutospacing="0"/>
              <w:ind w:left="0" w:right="0"/>
              <w:rPr>
                <w:rFonts w:hint="default" w:cs="Times New Roman"/>
                <w:b/>
                <w:bCs/>
                <w:iCs w:val="0"/>
                <w:kern w:val="0"/>
                <w:sz w:val="20"/>
                <w:szCs w:val="20"/>
                <w:vertAlign w:val="baseline"/>
                <w:lang w:val="en-US" w:eastAsia="zh-CN" w:bidi="ar"/>
              </w:rPr>
            </w:pPr>
            <w:r>
              <w:rPr>
                <w:rFonts w:hint="eastAsia"/>
                <w:b/>
                <w:bCs/>
                <w:sz w:val="20"/>
                <w:szCs w:val="20"/>
                <w:lang w:val="en-US" w:eastAsia="zh-CN"/>
              </w:rPr>
              <w:t>HD-FDD RedCap UE with LR</w:t>
            </w:r>
          </w:p>
        </w:tc>
        <w:tc>
          <w:tcPr>
            <w:tcW w:w="4215" w:type="dxa"/>
          </w:tcPr>
          <w:p>
            <w:pPr>
              <w:pStyle w:val="2"/>
              <w:keepNext w:val="0"/>
              <w:keepLines w:val="0"/>
              <w:widowControl/>
              <w:numPr>
                <w:ilvl w:val="-1"/>
                <w:numId w:val="0"/>
              </w:numPr>
              <w:suppressLineNumbers w:val="0"/>
              <w:spacing w:before="0" w:beforeLines="50" w:beforeAutospacing="0" w:afterAutospacing="0"/>
              <w:ind w:left="0" w:right="0"/>
              <w:rPr>
                <w:rFonts w:hint="default" w:cs="Times New Roman"/>
                <w:b/>
                <w:bCs/>
                <w:iCs w:val="0"/>
                <w:kern w:val="0"/>
                <w:sz w:val="20"/>
                <w:szCs w:val="20"/>
                <w:vertAlign w:val="baseline"/>
                <w:lang w:val="en-US" w:eastAsia="zh-CN" w:bidi="ar"/>
              </w:rPr>
            </w:pPr>
            <w:r>
              <w:rPr>
                <w:rFonts w:hint="eastAsia" w:cs="Times New Roman"/>
                <w:b/>
                <w:bCs/>
                <w:iCs w:val="0"/>
                <w:kern w:val="0"/>
                <w:sz w:val="20"/>
                <w:szCs w:val="20"/>
                <w:lang w:val="en-US" w:eastAsia="zh-CN" w:bidi="ar"/>
              </w:rPr>
              <w:t>The same legacy availability rule shall be reused, then the legacy requirements on maximum interruption in paging reception can be the same.</w:t>
            </w:r>
          </w:p>
        </w:tc>
      </w:tr>
    </w:tbl>
    <w:p>
      <w:pPr>
        <w:pStyle w:val="2"/>
        <w:numPr>
          <w:ilvl w:val="-1"/>
          <w:numId w:val="0"/>
        </w:numPr>
        <w:spacing w:beforeLines="50"/>
        <w:rPr>
          <w:rFonts w:hint="default"/>
          <w:b/>
          <w:bCs/>
          <w:lang w:val="en-US" w:eastAsia="zh-CN"/>
        </w:rPr>
      </w:pPr>
      <w:r>
        <w:rPr>
          <w:rFonts w:hint="eastAsia"/>
          <w:b/>
          <w:bCs/>
          <w:lang w:val="en-US" w:eastAsia="zh-CN"/>
        </w:rPr>
        <w:t>Observation 6: For normal UE with LP-WUS, RAN1 is discussing the UE capability.</w:t>
      </w:r>
    </w:p>
    <w:p>
      <w:pPr>
        <w:pStyle w:val="2"/>
        <w:numPr>
          <w:ilvl w:val="-1"/>
          <w:numId w:val="0"/>
        </w:numPr>
        <w:spacing w:beforeLines="50"/>
        <w:rPr>
          <w:rFonts w:hint="default"/>
          <w:b/>
          <w:bCs/>
          <w:lang w:val="en-US" w:eastAsia="zh-CN"/>
        </w:rPr>
      </w:pPr>
      <w:r>
        <w:rPr>
          <w:rFonts w:hint="eastAsia"/>
          <w:b/>
          <w:bCs/>
          <w:lang w:val="en-US" w:eastAsia="zh-CN"/>
        </w:rPr>
        <w:t>Observation 7: For RedCap UE capability with LP-WUS, the UE capability among R17 RedCap, R18 RedCap and R19 LP-WUS are independently. The discussion on RedCap UE with LP-WUS capability is not observed in RAN1.</w:t>
      </w:r>
    </w:p>
    <w:p>
      <w:pPr>
        <w:pStyle w:val="2"/>
        <w:numPr>
          <w:ilvl w:val="-1"/>
          <w:numId w:val="0"/>
        </w:numPr>
        <w:spacing w:beforeLines="50"/>
        <w:rPr>
          <w:rFonts w:hint="default"/>
          <w:b/>
          <w:bCs/>
          <w:lang w:val="en-US" w:eastAsia="zh-CN"/>
        </w:rPr>
      </w:pPr>
      <w:r>
        <w:rPr>
          <w:rFonts w:hint="eastAsia"/>
          <w:b/>
          <w:bCs/>
          <w:lang w:val="en-US" w:eastAsia="zh-CN"/>
        </w:rPr>
        <w:t>Proposal 7: For UE with LP-WUS, RAN4 shall wait for RAN1</w:t>
      </w:r>
      <w:r>
        <w:rPr>
          <w:rFonts w:hint="default"/>
          <w:b/>
          <w:bCs/>
          <w:lang w:val="en-US" w:eastAsia="zh-CN"/>
        </w:rPr>
        <w:t>’</w:t>
      </w:r>
      <w:r>
        <w:rPr>
          <w:rFonts w:hint="eastAsia"/>
          <w:b/>
          <w:bCs/>
          <w:lang w:val="en-US" w:eastAsia="zh-CN"/>
        </w:rPr>
        <w:t xml:space="preserve">s discussion on UE capability. The new UE capability shall not be introduced. </w:t>
      </w:r>
    </w:p>
    <w:p>
      <w:pPr>
        <w:pStyle w:val="2"/>
        <w:numPr>
          <w:ilvl w:val="-1"/>
          <w:numId w:val="0"/>
        </w:numPr>
        <w:spacing w:beforeLines="50"/>
        <w:rPr>
          <w:rFonts w:hint="default" w:cs="Times New Roman"/>
          <w:bCs w:val="0"/>
          <w:iCs w:val="0"/>
          <w:kern w:val="0"/>
          <w:sz w:val="20"/>
          <w:szCs w:val="20"/>
          <w:lang w:val="en-US" w:eastAsia="zh-CN" w:bidi="ar"/>
        </w:rPr>
      </w:pPr>
      <w:r>
        <w:rPr>
          <w:rFonts w:hint="eastAsia"/>
          <w:b/>
          <w:bCs/>
          <w:lang w:val="en-US" w:eastAsia="zh-CN"/>
        </w:rPr>
        <w:t>Proposal 8: The feature for RedCap UE with LP-WUS only applies for R19 UEs not for R17/R18 UEs.</w:t>
      </w:r>
    </w:p>
    <w:p>
      <w:pPr>
        <w:pStyle w:val="3"/>
        <w:rPr>
          <w:lang w:val="en-US"/>
        </w:rPr>
      </w:pPr>
      <w:r>
        <w:rPr>
          <w:lang w:val="en-US"/>
        </w:rPr>
        <w:t>References</w:t>
      </w:r>
      <w:bookmarkStart w:id="4" w:name="_Ref114500673"/>
      <w:bookmarkEnd w:id="4"/>
    </w:p>
    <w:p>
      <w:pPr>
        <w:spacing w:before="120" w:after="120"/>
        <w:rPr>
          <w:rFonts w:eastAsia="宋体"/>
          <w:lang w:val="en-US" w:eastAsia="zh-CN"/>
        </w:rPr>
      </w:pPr>
      <w:r>
        <w:rPr>
          <w:rFonts w:eastAsia="宋体"/>
          <w:lang w:val="en-US" w:eastAsia="zh-CN"/>
        </w:rPr>
        <w:t>[1] RP-221018</w:t>
      </w:r>
      <w:r>
        <w:rPr>
          <w:rFonts w:hint="eastAsia" w:eastAsia="宋体"/>
          <w:lang w:val="en-US" w:eastAsia="zh-CN"/>
        </w:rPr>
        <w:t>,</w:t>
      </w:r>
      <w:r>
        <w:rPr>
          <w:rFonts w:eastAsia="宋体"/>
          <w:lang w:val="en-US" w:eastAsia="zh-CN"/>
        </w:rPr>
        <w:t xml:space="preserve"> New WID: Low-power wake-up signal and receiver for NR (LP-WUS/WUR)</w:t>
      </w:r>
    </w:p>
    <w:p>
      <w:pPr>
        <w:spacing w:before="120" w:after="120"/>
        <w:rPr>
          <w:rFonts w:eastAsia="宋体"/>
          <w:lang w:val="en-US" w:eastAsia="zh-CN"/>
        </w:rPr>
      </w:pPr>
      <w:r>
        <w:rPr>
          <w:rFonts w:eastAsia="宋体"/>
          <w:lang w:val="en-US" w:eastAsia="zh-CN"/>
        </w:rPr>
        <w:t>[2] TR 38.869</w:t>
      </w:r>
    </w:p>
    <w:p>
      <w:pPr>
        <w:pStyle w:val="2"/>
        <w:rPr>
          <w:rFonts w:hint="default"/>
          <w:lang w:val="en-US" w:eastAsia="zh-CN"/>
        </w:rPr>
      </w:pPr>
      <w:r>
        <w:rPr>
          <w:rFonts w:hint="eastAsia" w:eastAsia="宋体"/>
          <w:lang w:val="en-US" w:eastAsia="zh-CN"/>
        </w:rPr>
        <w:t>[3] R4-2503116</w:t>
      </w: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auto"/>
    <w:pitch w:val="default"/>
    <w:sig w:usb0="E00006FF" w:usb1="420024FF" w:usb2="02000000" w:usb3="00000000" w:csb0="2000019F" w:csb1="00000000"/>
  </w:font>
  <w:font w:name="v4.2.0">
    <w:altName w:val="思源黑体 CN Normal"/>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pStyle w:val="27"/>
      <w:jc w:val="left"/>
      <w:rPr>
        <w:color w:val="FF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DDE50E"/>
    <w:multiLevelType w:val="singleLevel"/>
    <w:tmpl w:val="AADDE50E"/>
    <w:lvl w:ilvl="0" w:tentative="0">
      <w:start w:val="1"/>
      <w:numFmt w:val="decimal"/>
      <w:suff w:val="space"/>
      <w:lvlText w:val="%1."/>
      <w:lvlJc w:val="left"/>
    </w:lvl>
  </w:abstractNum>
  <w:abstractNum w:abstractNumId="1">
    <w:nsid w:val="B17E7B34"/>
    <w:multiLevelType w:val="singleLevel"/>
    <w:tmpl w:val="B17E7B34"/>
    <w:lvl w:ilvl="0" w:tentative="0">
      <w:start w:val="1"/>
      <w:numFmt w:val="decimal"/>
      <w:suff w:val="space"/>
      <w:lvlText w:val="%1."/>
      <w:lvlJc w:val="left"/>
    </w:lvl>
  </w:abstractNum>
  <w:abstractNum w:abstractNumId="2">
    <w:nsid w:val="C084ADF3"/>
    <w:multiLevelType w:val="multilevel"/>
    <w:tmpl w:val="C084ADF3"/>
    <w:lvl w:ilvl="0" w:tentative="0">
      <w:start w:val="1"/>
      <w:numFmt w:val="bullet"/>
      <w:lvlText w:val="•"/>
      <w:lvlJc w:val="left"/>
      <w:pPr>
        <w:tabs>
          <w:tab w:val="left" w:pos="720"/>
        </w:tabs>
        <w:ind w:left="720" w:hanging="360"/>
      </w:pPr>
      <w:rPr>
        <w:rFonts w:ascii="Arial" w:hAnsi="Arial" w:cs="Arial"/>
      </w:rPr>
    </w:lvl>
    <w:lvl w:ilvl="1" w:tentative="0">
      <w:start w:val="0"/>
      <w:numFmt w:val="bullet"/>
      <w:lvlText w:val="•"/>
      <w:lvlJc w:val="left"/>
      <w:pPr>
        <w:tabs>
          <w:tab w:val="left" w:pos="1440"/>
        </w:tabs>
        <w:ind w:left="1440" w:hanging="360"/>
      </w:pPr>
      <w:rPr>
        <w:rFonts w:hint="default" w:ascii="Arial" w:hAnsi="Arial" w:cs="Arial"/>
      </w:rPr>
    </w:lvl>
    <w:lvl w:ilvl="2" w:tentative="0">
      <w:start w:val="0"/>
      <w:numFmt w:val="bullet"/>
      <w:lvlText w:val="•"/>
      <w:lvlJc w:val="left"/>
      <w:pPr>
        <w:tabs>
          <w:tab w:val="left" w:pos="2160"/>
        </w:tabs>
        <w:ind w:left="2160" w:hanging="360"/>
      </w:pPr>
      <w:rPr>
        <w:rFonts w:hint="default" w:ascii="Arial" w:hAnsi="Arial" w:cs="Arial"/>
      </w:rPr>
    </w:lvl>
    <w:lvl w:ilvl="3" w:tentative="0">
      <w:start w:val="0"/>
      <w:numFmt w:val="bullet"/>
      <w:lvlText w:val="•"/>
      <w:lvlJc w:val="left"/>
      <w:pPr>
        <w:tabs>
          <w:tab w:val="left" w:pos="2880"/>
        </w:tabs>
        <w:ind w:left="2880" w:hanging="360"/>
      </w:pPr>
      <w:rPr>
        <w:rFonts w:hint="default" w:ascii="Arial" w:hAnsi="Arial" w:cs="Arial"/>
      </w:rPr>
    </w:lvl>
    <w:lvl w:ilvl="4" w:tentative="0">
      <w:start w:val="1"/>
      <w:numFmt w:val="bullet"/>
      <w:lvlText w:val="•"/>
      <w:lvlJc w:val="left"/>
      <w:pPr>
        <w:tabs>
          <w:tab w:val="left" w:pos="3600"/>
        </w:tabs>
        <w:ind w:left="3600" w:hanging="360"/>
      </w:pPr>
      <w:rPr>
        <w:rFonts w:hint="default" w:ascii="Arial" w:hAnsi="Arial" w:cs="Arial"/>
      </w:rPr>
    </w:lvl>
    <w:lvl w:ilvl="5" w:tentative="0">
      <w:start w:val="1"/>
      <w:numFmt w:val="bullet"/>
      <w:lvlText w:val="•"/>
      <w:lvlJc w:val="left"/>
      <w:pPr>
        <w:tabs>
          <w:tab w:val="left" w:pos="4320"/>
        </w:tabs>
        <w:ind w:left="4320" w:hanging="360"/>
      </w:pPr>
      <w:rPr>
        <w:rFonts w:hint="default" w:ascii="Arial" w:hAnsi="Arial" w:cs="Arial"/>
      </w:rPr>
    </w:lvl>
    <w:lvl w:ilvl="6" w:tentative="0">
      <w:start w:val="1"/>
      <w:numFmt w:val="bullet"/>
      <w:lvlText w:val="•"/>
      <w:lvlJc w:val="left"/>
      <w:pPr>
        <w:tabs>
          <w:tab w:val="left" w:pos="5040"/>
        </w:tabs>
        <w:ind w:left="5040" w:hanging="360"/>
      </w:pPr>
      <w:rPr>
        <w:rFonts w:hint="default" w:ascii="Arial" w:hAnsi="Arial" w:cs="Arial"/>
      </w:rPr>
    </w:lvl>
    <w:lvl w:ilvl="7" w:tentative="0">
      <w:start w:val="1"/>
      <w:numFmt w:val="bullet"/>
      <w:lvlText w:val="•"/>
      <w:lvlJc w:val="left"/>
      <w:pPr>
        <w:tabs>
          <w:tab w:val="left" w:pos="5760"/>
        </w:tabs>
        <w:ind w:left="5760" w:hanging="360"/>
      </w:pPr>
      <w:rPr>
        <w:rFonts w:hint="default" w:ascii="Arial" w:hAnsi="Arial" w:cs="Arial"/>
      </w:rPr>
    </w:lvl>
    <w:lvl w:ilvl="8" w:tentative="0">
      <w:start w:val="1"/>
      <w:numFmt w:val="bullet"/>
      <w:lvlText w:val="•"/>
      <w:lvlJc w:val="left"/>
      <w:pPr>
        <w:tabs>
          <w:tab w:val="left" w:pos="6480"/>
        </w:tabs>
        <w:ind w:left="6480" w:hanging="360"/>
      </w:pPr>
      <w:rPr>
        <w:rFonts w:hint="default" w:ascii="Arial" w:hAnsi="Arial" w:cs="Arial"/>
      </w:rPr>
    </w:lvl>
  </w:abstractNum>
  <w:abstractNum w:abstractNumId="3">
    <w:nsid w:val="D4B4B6C3"/>
    <w:multiLevelType w:val="singleLevel"/>
    <w:tmpl w:val="D4B4B6C3"/>
    <w:lvl w:ilvl="0" w:tentative="0">
      <w:start w:val="1"/>
      <w:numFmt w:val="decimal"/>
      <w:suff w:val="space"/>
      <w:lvlText w:val="%1."/>
      <w:lvlJc w:val="left"/>
    </w:lvl>
  </w:abstractNum>
  <w:abstractNum w:abstractNumId="4">
    <w:nsid w:val="1A973D21"/>
    <w:multiLevelType w:val="multilevel"/>
    <w:tmpl w:val="1A973D2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decimal"/>
      <w:lvlText w:val="(%4)"/>
      <w:lvlJc w:val="left"/>
      <w:pPr>
        <w:ind w:left="2892" w:hanging="372"/>
      </w:pPr>
      <w:rPr>
        <w:rFonts w:hint="default"/>
      </w:rPr>
    </w:lvl>
    <w:lvl w:ilvl="4" w:tentative="0">
      <w:start w:val="1"/>
      <w:numFmt w:val="decimal"/>
      <w:lvlText w:val="%5)"/>
      <w:lvlJc w:val="left"/>
      <w:pPr>
        <w:ind w:left="3600" w:hanging="360"/>
      </w:pPr>
      <w:rPr>
        <w:rFonts w:hint="default"/>
      </w:rPr>
    </w:lvl>
    <w:lvl w:ilvl="5" w:tentative="0">
      <w:start w:val="1"/>
      <w:numFmt w:val="decimal"/>
      <w:lvlText w:val="%6."/>
      <w:lvlJc w:val="left"/>
      <w:pPr>
        <w:ind w:left="4320" w:hanging="360"/>
      </w:pPr>
      <w:rPr>
        <w:rFonts w:hint="default"/>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5">
    <w:nsid w:val="39FB0ABC"/>
    <w:multiLevelType w:val="multilevel"/>
    <w:tmpl w:val="39FB0ABC"/>
    <w:lvl w:ilvl="0" w:tentative="0">
      <w:start w:val="1"/>
      <w:numFmt w:val="bullet"/>
      <w:lvlText w:val=""/>
      <w:lvlJc w:val="left"/>
      <w:pPr>
        <w:ind w:left="420" w:hanging="420"/>
      </w:pPr>
      <w:rPr>
        <w:rFonts w:hint="default" w:ascii="Symbol" w:hAnsi="Symbol"/>
      </w:rPr>
    </w:lvl>
    <w:lvl w:ilvl="1" w:tentative="0">
      <w:start w:val="6"/>
      <w:numFmt w:val="bullet"/>
      <w:lvlText w:val="-"/>
      <w:lvlJc w:val="left"/>
      <w:pPr>
        <w:ind w:left="840" w:hanging="420"/>
      </w:pPr>
      <w:rPr>
        <w:rFonts w:hint="default" w:ascii="Times New Roman" w:hAnsi="Times New Roman" w:eastAsia="MS Mincho"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3D7E4AA5"/>
    <w:multiLevelType w:val="multilevel"/>
    <w:tmpl w:val="3D7E4AA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D6E3167"/>
    <w:multiLevelType w:val="multilevel"/>
    <w:tmpl w:val="4D6E3167"/>
    <w:lvl w:ilvl="0" w:tentative="0">
      <w:start w:val="1"/>
      <w:numFmt w:val="decimal"/>
      <w:pStyle w:val="83"/>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8">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9">
    <w:nsid w:val="60F5C586"/>
    <w:multiLevelType w:val="singleLevel"/>
    <w:tmpl w:val="60F5C586"/>
    <w:lvl w:ilvl="0" w:tentative="0">
      <w:start w:val="1"/>
      <w:numFmt w:val="decimal"/>
      <w:suff w:val="space"/>
      <w:lvlText w:val="%1."/>
      <w:lvlJc w:val="left"/>
    </w:lvl>
  </w:abstractNum>
  <w:abstractNum w:abstractNumId="10">
    <w:nsid w:val="665C217B"/>
    <w:multiLevelType w:val="multilevel"/>
    <w:tmpl w:val="665C217B"/>
    <w:lvl w:ilvl="0" w:tentative="0">
      <w:start w:val="1"/>
      <w:numFmt w:val="decimal"/>
      <w:pStyle w:val="80"/>
      <w:lvlText w:val="%1"/>
      <w:lvlJc w:val="left"/>
      <w:pPr>
        <w:ind w:left="360" w:hanging="360"/>
      </w:pPr>
      <w:rPr>
        <w:rFonts w:hint="default"/>
      </w:rPr>
    </w:lvl>
    <w:lvl w:ilvl="1" w:tentative="0">
      <w:start w:val="1"/>
      <w:numFmt w:val="decimal"/>
      <w:pStyle w:val="82"/>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11">
    <w:nsid w:val="70146DC0"/>
    <w:multiLevelType w:val="multilevel"/>
    <w:tmpl w:val="70146DC0"/>
    <w:lvl w:ilvl="0" w:tentative="0">
      <w:start w:val="1"/>
      <w:numFmt w:val="bullet"/>
      <w:pStyle w:val="92"/>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66435EF"/>
    <w:multiLevelType w:val="multilevel"/>
    <w:tmpl w:val="766435EF"/>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7D7B2419"/>
    <w:multiLevelType w:val="multilevel"/>
    <w:tmpl w:val="7D7B2419"/>
    <w:lvl w:ilvl="0" w:tentative="0">
      <w:start w:val="1"/>
      <w:numFmt w:val="decimal"/>
      <w:pStyle w:val="3"/>
      <w:lvlText w:val="%1"/>
      <w:lvlJc w:val="left"/>
      <w:pPr>
        <w:ind w:left="432" w:hanging="432"/>
      </w:pPr>
      <w:rPr>
        <w:rFonts w:hint="default"/>
      </w:rPr>
    </w:lvl>
    <w:lvl w:ilvl="1" w:tentative="0">
      <w:start w:val="1"/>
      <w:numFmt w:val="decimal"/>
      <w:pStyle w:val="4"/>
      <w:lvlText w:val="%1.%2"/>
      <w:lvlJc w:val="left"/>
      <w:pPr>
        <w:ind w:left="1285" w:hanging="576"/>
      </w:pPr>
      <w:rPr>
        <w:rFonts w:hint="default"/>
      </w:rPr>
    </w:lvl>
    <w:lvl w:ilvl="2" w:tentative="0">
      <w:start w:val="1"/>
      <w:numFmt w:val="decimal"/>
      <w:pStyle w:val="5"/>
      <w:lvlText w:val="%1.%2.%3"/>
      <w:lvlJc w:val="left"/>
      <w:pPr>
        <w:ind w:left="864"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2" w:hanging="1152"/>
      </w:pPr>
      <w:rPr>
        <w:rFonts w:hint="default"/>
      </w:rPr>
    </w:lvl>
    <w:lvl w:ilvl="6" w:tentative="0">
      <w:start w:val="1"/>
      <w:numFmt w:val="decimal"/>
      <w:lvlText w:val="%1.%2.%3.%4.%5.%6.%7"/>
      <w:lvlJc w:val="left"/>
      <w:pPr>
        <w:ind w:left="1296" w:hanging="1296"/>
      </w:pPr>
      <w:rPr>
        <w:rFonts w:hint="default"/>
      </w:rPr>
    </w:lvl>
    <w:lvl w:ilvl="7" w:tentative="0">
      <w:start w:val="1"/>
      <w:numFmt w:val="decimal"/>
      <w:pStyle w:val="11"/>
      <w:lvlText w:val="%1.%2.%3.%4.%5.%6.%7.%8"/>
      <w:lvlJc w:val="left"/>
      <w:pPr>
        <w:ind w:left="1440" w:hanging="1440"/>
      </w:pPr>
      <w:rPr>
        <w:rFonts w:hint="default"/>
      </w:rPr>
    </w:lvl>
    <w:lvl w:ilvl="8" w:tentative="0">
      <w:start w:val="1"/>
      <w:numFmt w:val="decimal"/>
      <w:pStyle w:val="12"/>
      <w:lvlText w:val="%1.%2.%3.%4.%5.%6.%7.%8.%9"/>
      <w:lvlJc w:val="left"/>
      <w:pPr>
        <w:ind w:left="1584" w:hanging="1584"/>
      </w:pPr>
      <w:rPr>
        <w:rFonts w:hint="default"/>
      </w:rPr>
    </w:lvl>
  </w:abstractNum>
  <w:abstractNum w:abstractNumId="14">
    <w:nsid w:val="7EA49C7C"/>
    <w:multiLevelType w:val="multilevel"/>
    <w:tmpl w:val="7EA49C7C"/>
    <w:lvl w:ilvl="0" w:tentative="0">
      <w:start w:val="1"/>
      <w:numFmt w:val="bullet"/>
      <w:lvlText w:val=""/>
      <w:lvlJc w:val="left"/>
      <w:pPr>
        <w:ind w:left="936" w:hanging="360"/>
      </w:pPr>
      <w:rPr>
        <w:rFonts w:ascii="Symbol" w:hAnsi="Symbol" w:cs="Symbol"/>
      </w:rPr>
    </w:lvl>
    <w:lvl w:ilvl="1" w:tentative="0">
      <w:start w:val="1"/>
      <w:numFmt w:val="bullet"/>
      <w:lvlText w:val="o"/>
      <w:lvlJc w:val="left"/>
      <w:pPr>
        <w:ind w:left="1656" w:hanging="360"/>
      </w:pPr>
      <w:rPr>
        <w:rFonts w:ascii="Courier New" w:hAnsi="Courier New" w:cs="Courier New"/>
      </w:rPr>
    </w:lvl>
    <w:lvl w:ilvl="2" w:tentative="0">
      <w:start w:val="1"/>
      <w:numFmt w:val="bullet"/>
      <w:lvlText w:val=""/>
      <w:lvlJc w:val="left"/>
      <w:pPr>
        <w:ind w:left="2376" w:hanging="360"/>
      </w:pPr>
      <w:rPr>
        <w:rFonts w:hint="default" w:ascii="Wingdings" w:hAnsi="Wingdings" w:cs="Wingdings"/>
      </w:rPr>
    </w:lvl>
    <w:lvl w:ilvl="3" w:tentative="0">
      <w:start w:val="1"/>
      <w:numFmt w:val="bullet"/>
      <w:lvlText w:val=""/>
      <w:lvlJc w:val="left"/>
      <w:pPr>
        <w:ind w:left="3096" w:hanging="360"/>
      </w:pPr>
      <w:rPr>
        <w:rFonts w:hint="default" w:ascii="Symbol" w:hAnsi="Symbol" w:cs="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9" w:hanging="360"/>
      </w:pPr>
      <w:rPr>
        <w:rFonts w:hint="default" w:ascii="Wingdings" w:hAnsi="Wingdings" w:cs="Wingdings"/>
      </w:rPr>
    </w:lvl>
    <w:lvl w:ilvl="6" w:tentative="0">
      <w:start w:val="1"/>
      <w:numFmt w:val="bullet"/>
      <w:lvlText w:val=""/>
      <w:lvlJc w:val="left"/>
      <w:pPr>
        <w:ind w:left="5256" w:hanging="360"/>
      </w:pPr>
      <w:rPr>
        <w:rFonts w:hint="default" w:ascii="Symbol" w:hAnsi="Symbol" w:cs="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cs="Wingdings"/>
      </w:rPr>
    </w:lvl>
  </w:abstractNum>
  <w:num w:numId="1">
    <w:abstractNumId w:val="13"/>
  </w:num>
  <w:num w:numId="2">
    <w:abstractNumId w:val="10"/>
  </w:num>
  <w:num w:numId="3">
    <w:abstractNumId w:val="7"/>
  </w:num>
  <w:num w:numId="4">
    <w:abstractNumId w:val="11"/>
  </w:num>
  <w:num w:numId="5">
    <w:abstractNumId w:val="2"/>
  </w:num>
  <w:num w:numId="6">
    <w:abstractNumId w:val="4"/>
  </w:num>
  <w:num w:numId="7">
    <w:abstractNumId w:val="8"/>
  </w:num>
  <w:num w:numId="8">
    <w:abstractNumId w:val="0"/>
  </w:num>
  <w:num w:numId="9">
    <w:abstractNumId w:val="5"/>
  </w:num>
  <w:num w:numId="10">
    <w:abstractNumId w:val="12"/>
  </w:num>
  <w:num w:numId="11">
    <w:abstractNumId w:val="14"/>
  </w:num>
  <w:num w:numId="12">
    <w:abstractNumId w:val="6"/>
  </w:num>
  <w:num w:numId="13">
    <w:abstractNumId w:val="3"/>
  </w:num>
  <w:num w:numId="14">
    <w:abstractNumId w:val="9"/>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2E6"/>
    <w:rsid w:val="000046DC"/>
    <w:rsid w:val="00005C48"/>
    <w:rsid w:val="00006555"/>
    <w:rsid w:val="00011003"/>
    <w:rsid w:val="0001134E"/>
    <w:rsid w:val="0001287F"/>
    <w:rsid w:val="00015F63"/>
    <w:rsid w:val="00022CD0"/>
    <w:rsid w:val="00023F3D"/>
    <w:rsid w:val="00026996"/>
    <w:rsid w:val="00033397"/>
    <w:rsid w:val="00036876"/>
    <w:rsid w:val="00037005"/>
    <w:rsid w:val="00037184"/>
    <w:rsid w:val="00040095"/>
    <w:rsid w:val="00040931"/>
    <w:rsid w:val="00041159"/>
    <w:rsid w:val="0004170F"/>
    <w:rsid w:val="00041FDD"/>
    <w:rsid w:val="00042DC5"/>
    <w:rsid w:val="00043F09"/>
    <w:rsid w:val="000455F6"/>
    <w:rsid w:val="0004672B"/>
    <w:rsid w:val="00050241"/>
    <w:rsid w:val="0005133E"/>
    <w:rsid w:val="000513F6"/>
    <w:rsid w:val="00051834"/>
    <w:rsid w:val="00052076"/>
    <w:rsid w:val="000530A4"/>
    <w:rsid w:val="000530D0"/>
    <w:rsid w:val="00053CD1"/>
    <w:rsid w:val="00054A22"/>
    <w:rsid w:val="00056140"/>
    <w:rsid w:val="00056A26"/>
    <w:rsid w:val="0006156C"/>
    <w:rsid w:val="00062023"/>
    <w:rsid w:val="000626AB"/>
    <w:rsid w:val="00063F23"/>
    <w:rsid w:val="0006426E"/>
    <w:rsid w:val="000655A6"/>
    <w:rsid w:val="00066DE0"/>
    <w:rsid w:val="00070A50"/>
    <w:rsid w:val="0007451A"/>
    <w:rsid w:val="00075D07"/>
    <w:rsid w:val="00075E08"/>
    <w:rsid w:val="000776BD"/>
    <w:rsid w:val="00080512"/>
    <w:rsid w:val="000811E9"/>
    <w:rsid w:val="00082AB3"/>
    <w:rsid w:val="00083B25"/>
    <w:rsid w:val="00084A6B"/>
    <w:rsid w:val="00085C32"/>
    <w:rsid w:val="00087103"/>
    <w:rsid w:val="000901DD"/>
    <w:rsid w:val="000A1424"/>
    <w:rsid w:val="000A5512"/>
    <w:rsid w:val="000A63E6"/>
    <w:rsid w:val="000A719D"/>
    <w:rsid w:val="000B23C4"/>
    <w:rsid w:val="000B30B9"/>
    <w:rsid w:val="000B49B9"/>
    <w:rsid w:val="000C00DF"/>
    <w:rsid w:val="000C1298"/>
    <w:rsid w:val="000C477A"/>
    <w:rsid w:val="000C47C3"/>
    <w:rsid w:val="000C7A10"/>
    <w:rsid w:val="000D0297"/>
    <w:rsid w:val="000D0A87"/>
    <w:rsid w:val="000D2785"/>
    <w:rsid w:val="000D34CE"/>
    <w:rsid w:val="000D48AB"/>
    <w:rsid w:val="000D58AB"/>
    <w:rsid w:val="000D5AED"/>
    <w:rsid w:val="000E13C1"/>
    <w:rsid w:val="000F0153"/>
    <w:rsid w:val="000F0644"/>
    <w:rsid w:val="000F0854"/>
    <w:rsid w:val="000F215F"/>
    <w:rsid w:val="000F6E49"/>
    <w:rsid w:val="000F73AC"/>
    <w:rsid w:val="00101D29"/>
    <w:rsid w:val="00101E49"/>
    <w:rsid w:val="00104C87"/>
    <w:rsid w:val="00111BFA"/>
    <w:rsid w:val="0011507D"/>
    <w:rsid w:val="0011563B"/>
    <w:rsid w:val="0011616C"/>
    <w:rsid w:val="00117662"/>
    <w:rsid w:val="0011770E"/>
    <w:rsid w:val="001225F3"/>
    <w:rsid w:val="00123814"/>
    <w:rsid w:val="00126508"/>
    <w:rsid w:val="00126944"/>
    <w:rsid w:val="0013032D"/>
    <w:rsid w:val="00132C75"/>
    <w:rsid w:val="00133525"/>
    <w:rsid w:val="00136309"/>
    <w:rsid w:val="001434CE"/>
    <w:rsid w:val="0014510F"/>
    <w:rsid w:val="00145175"/>
    <w:rsid w:val="00151CCB"/>
    <w:rsid w:val="00151FA8"/>
    <w:rsid w:val="0015229F"/>
    <w:rsid w:val="0015749E"/>
    <w:rsid w:val="00160AD4"/>
    <w:rsid w:val="001612B1"/>
    <w:rsid w:val="001635FF"/>
    <w:rsid w:val="001638B8"/>
    <w:rsid w:val="001648A8"/>
    <w:rsid w:val="00165EDE"/>
    <w:rsid w:val="0017269E"/>
    <w:rsid w:val="00174104"/>
    <w:rsid w:val="00174553"/>
    <w:rsid w:val="0018169B"/>
    <w:rsid w:val="00184960"/>
    <w:rsid w:val="001905D0"/>
    <w:rsid w:val="00195597"/>
    <w:rsid w:val="00195EF6"/>
    <w:rsid w:val="00196595"/>
    <w:rsid w:val="00196728"/>
    <w:rsid w:val="001A00D0"/>
    <w:rsid w:val="001A4B8E"/>
    <w:rsid w:val="001A4C42"/>
    <w:rsid w:val="001A6AD2"/>
    <w:rsid w:val="001A6F6D"/>
    <w:rsid w:val="001A7420"/>
    <w:rsid w:val="001B1FD6"/>
    <w:rsid w:val="001B3A81"/>
    <w:rsid w:val="001B6637"/>
    <w:rsid w:val="001B6885"/>
    <w:rsid w:val="001B7B81"/>
    <w:rsid w:val="001C0069"/>
    <w:rsid w:val="001C1C3D"/>
    <w:rsid w:val="001C21C3"/>
    <w:rsid w:val="001C4264"/>
    <w:rsid w:val="001C5B57"/>
    <w:rsid w:val="001C701D"/>
    <w:rsid w:val="001D02C2"/>
    <w:rsid w:val="001D0393"/>
    <w:rsid w:val="001D0811"/>
    <w:rsid w:val="001D3D26"/>
    <w:rsid w:val="001D6734"/>
    <w:rsid w:val="001D6AA3"/>
    <w:rsid w:val="001D7FC7"/>
    <w:rsid w:val="001E176D"/>
    <w:rsid w:val="001E7CF9"/>
    <w:rsid w:val="001F0C1D"/>
    <w:rsid w:val="001F1132"/>
    <w:rsid w:val="001F168B"/>
    <w:rsid w:val="001F1EB6"/>
    <w:rsid w:val="001F2881"/>
    <w:rsid w:val="001F3007"/>
    <w:rsid w:val="001F3D34"/>
    <w:rsid w:val="001F6115"/>
    <w:rsid w:val="001F6577"/>
    <w:rsid w:val="001F7416"/>
    <w:rsid w:val="00204A9B"/>
    <w:rsid w:val="00205821"/>
    <w:rsid w:val="00207E51"/>
    <w:rsid w:val="00213CC1"/>
    <w:rsid w:val="00214402"/>
    <w:rsid w:val="00214B3C"/>
    <w:rsid w:val="0021543D"/>
    <w:rsid w:val="002168FC"/>
    <w:rsid w:val="002176F2"/>
    <w:rsid w:val="002178AD"/>
    <w:rsid w:val="00217BD9"/>
    <w:rsid w:val="002321B0"/>
    <w:rsid w:val="00234654"/>
    <w:rsid w:val="002347A2"/>
    <w:rsid w:val="00237D0C"/>
    <w:rsid w:val="0024028A"/>
    <w:rsid w:val="00241841"/>
    <w:rsid w:val="002418CC"/>
    <w:rsid w:val="00241D3A"/>
    <w:rsid w:val="00243227"/>
    <w:rsid w:val="00246DFE"/>
    <w:rsid w:val="00252B89"/>
    <w:rsid w:val="0025398F"/>
    <w:rsid w:val="00263E3D"/>
    <w:rsid w:val="00264233"/>
    <w:rsid w:val="00266F2C"/>
    <w:rsid w:val="002675F0"/>
    <w:rsid w:val="00267FA9"/>
    <w:rsid w:val="00273D9B"/>
    <w:rsid w:val="00273E52"/>
    <w:rsid w:val="002770A5"/>
    <w:rsid w:val="00282251"/>
    <w:rsid w:val="00282A31"/>
    <w:rsid w:val="002831E8"/>
    <w:rsid w:val="002840A1"/>
    <w:rsid w:val="00285EE7"/>
    <w:rsid w:val="0028630C"/>
    <w:rsid w:val="002877AA"/>
    <w:rsid w:val="0029202F"/>
    <w:rsid w:val="002924D0"/>
    <w:rsid w:val="00292F83"/>
    <w:rsid w:val="00294FF3"/>
    <w:rsid w:val="002956B8"/>
    <w:rsid w:val="002974CD"/>
    <w:rsid w:val="002A22F9"/>
    <w:rsid w:val="002A7B6A"/>
    <w:rsid w:val="002B3C6A"/>
    <w:rsid w:val="002B5F68"/>
    <w:rsid w:val="002B6339"/>
    <w:rsid w:val="002C0350"/>
    <w:rsid w:val="002C3BF3"/>
    <w:rsid w:val="002C4722"/>
    <w:rsid w:val="002C5A2C"/>
    <w:rsid w:val="002C6847"/>
    <w:rsid w:val="002D048A"/>
    <w:rsid w:val="002D1FC5"/>
    <w:rsid w:val="002D4468"/>
    <w:rsid w:val="002D4D9F"/>
    <w:rsid w:val="002E00EE"/>
    <w:rsid w:val="002E16C9"/>
    <w:rsid w:val="002E197A"/>
    <w:rsid w:val="002E46A5"/>
    <w:rsid w:val="002E4DDA"/>
    <w:rsid w:val="002E556F"/>
    <w:rsid w:val="002E7CAA"/>
    <w:rsid w:val="002F10F9"/>
    <w:rsid w:val="002F1404"/>
    <w:rsid w:val="002F38F8"/>
    <w:rsid w:val="002F3A08"/>
    <w:rsid w:val="002F4C7A"/>
    <w:rsid w:val="002F771D"/>
    <w:rsid w:val="0030229A"/>
    <w:rsid w:val="003056C2"/>
    <w:rsid w:val="00307229"/>
    <w:rsid w:val="00310214"/>
    <w:rsid w:val="00310C78"/>
    <w:rsid w:val="0031535E"/>
    <w:rsid w:val="0031569B"/>
    <w:rsid w:val="00315869"/>
    <w:rsid w:val="003172DC"/>
    <w:rsid w:val="00325522"/>
    <w:rsid w:val="00327575"/>
    <w:rsid w:val="00327F37"/>
    <w:rsid w:val="003310A5"/>
    <w:rsid w:val="00331CB8"/>
    <w:rsid w:val="0033338C"/>
    <w:rsid w:val="003337B2"/>
    <w:rsid w:val="0033650E"/>
    <w:rsid w:val="00336697"/>
    <w:rsid w:val="00337449"/>
    <w:rsid w:val="00337EE5"/>
    <w:rsid w:val="003440E3"/>
    <w:rsid w:val="003440E5"/>
    <w:rsid w:val="0034524C"/>
    <w:rsid w:val="00347F05"/>
    <w:rsid w:val="00351A43"/>
    <w:rsid w:val="00353F28"/>
    <w:rsid w:val="0035462D"/>
    <w:rsid w:val="00354F51"/>
    <w:rsid w:val="00356A1F"/>
    <w:rsid w:val="003574A0"/>
    <w:rsid w:val="00360A18"/>
    <w:rsid w:val="003614E2"/>
    <w:rsid w:val="00361E85"/>
    <w:rsid w:val="00364709"/>
    <w:rsid w:val="00364F0C"/>
    <w:rsid w:val="003655AA"/>
    <w:rsid w:val="00366315"/>
    <w:rsid w:val="00367F5A"/>
    <w:rsid w:val="0037076E"/>
    <w:rsid w:val="00373176"/>
    <w:rsid w:val="003765B8"/>
    <w:rsid w:val="0037731E"/>
    <w:rsid w:val="003822EF"/>
    <w:rsid w:val="0038281E"/>
    <w:rsid w:val="00383587"/>
    <w:rsid w:val="00383617"/>
    <w:rsid w:val="00384571"/>
    <w:rsid w:val="00384CDA"/>
    <w:rsid w:val="00384F78"/>
    <w:rsid w:val="003858A3"/>
    <w:rsid w:val="00390535"/>
    <w:rsid w:val="00390D75"/>
    <w:rsid w:val="00392002"/>
    <w:rsid w:val="00392582"/>
    <w:rsid w:val="003935A7"/>
    <w:rsid w:val="00395329"/>
    <w:rsid w:val="00395F8F"/>
    <w:rsid w:val="003A08E7"/>
    <w:rsid w:val="003A71A1"/>
    <w:rsid w:val="003B1DD7"/>
    <w:rsid w:val="003B1E01"/>
    <w:rsid w:val="003B58F6"/>
    <w:rsid w:val="003B5AC4"/>
    <w:rsid w:val="003B5DBF"/>
    <w:rsid w:val="003B624D"/>
    <w:rsid w:val="003C267E"/>
    <w:rsid w:val="003C2B5D"/>
    <w:rsid w:val="003C3971"/>
    <w:rsid w:val="003C5083"/>
    <w:rsid w:val="003C5E65"/>
    <w:rsid w:val="003C7264"/>
    <w:rsid w:val="003C73A0"/>
    <w:rsid w:val="003C7D5E"/>
    <w:rsid w:val="003D17B7"/>
    <w:rsid w:val="003D2A18"/>
    <w:rsid w:val="003D2DDF"/>
    <w:rsid w:val="003D429A"/>
    <w:rsid w:val="003D49F4"/>
    <w:rsid w:val="003D71AF"/>
    <w:rsid w:val="003E1D24"/>
    <w:rsid w:val="003E209B"/>
    <w:rsid w:val="003E2C75"/>
    <w:rsid w:val="003E56DA"/>
    <w:rsid w:val="003F0001"/>
    <w:rsid w:val="003F0E5A"/>
    <w:rsid w:val="003F1BFC"/>
    <w:rsid w:val="003F1CC8"/>
    <w:rsid w:val="003F4BF5"/>
    <w:rsid w:val="003F5FB0"/>
    <w:rsid w:val="003F6844"/>
    <w:rsid w:val="003F70C9"/>
    <w:rsid w:val="0040343D"/>
    <w:rsid w:val="00406A19"/>
    <w:rsid w:val="00415855"/>
    <w:rsid w:val="00417AD9"/>
    <w:rsid w:val="00417F01"/>
    <w:rsid w:val="00421CBC"/>
    <w:rsid w:val="00423334"/>
    <w:rsid w:val="004236A3"/>
    <w:rsid w:val="004258A0"/>
    <w:rsid w:val="0042665D"/>
    <w:rsid w:val="00426B8E"/>
    <w:rsid w:val="00427C82"/>
    <w:rsid w:val="004345EC"/>
    <w:rsid w:val="004360AE"/>
    <w:rsid w:val="00440996"/>
    <w:rsid w:val="0044364B"/>
    <w:rsid w:val="00443AFE"/>
    <w:rsid w:val="0044432C"/>
    <w:rsid w:val="00444F09"/>
    <w:rsid w:val="004451CE"/>
    <w:rsid w:val="00447A52"/>
    <w:rsid w:val="00451FEF"/>
    <w:rsid w:val="00453A71"/>
    <w:rsid w:val="00454360"/>
    <w:rsid w:val="00455A83"/>
    <w:rsid w:val="004562BF"/>
    <w:rsid w:val="00460101"/>
    <w:rsid w:val="00460A69"/>
    <w:rsid w:val="00461EDD"/>
    <w:rsid w:val="004624B7"/>
    <w:rsid w:val="004635E7"/>
    <w:rsid w:val="00463DB4"/>
    <w:rsid w:val="00465515"/>
    <w:rsid w:val="00465758"/>
    <w:rsid w:val="00467430"/>
    <w:rsid w:val="00472492"/>
    <w:rsid w:val="00475E97"/>
    <w:rsid w:val="004775E2"/>
    <w:rsid w:val="004814DE"/>
    <w:rsid w:val="00481660"/>
    <w:rsid w:val="0048484C"/>
    <w:rsid w:val="00485F79"/>
    <w:rsid w:val="004905D0"/>
    <w:rsid w:val="004929E3"/>
    <w:rsid w:val="004968E3"/>
    <w:rsid w:val="00497E6E"/>
    <w:rsid w:val="004A0387"/>
    <w:rsid w:val="004A1327"/>
    <w:rsid w:val="004A4D16"/>
    <w:rsid w:val="004A6DBA"/>
    <w:rsid w:val="004B152A"/>
    <w:rsid w:val="004B28FA"/>
    <w:rsid w:val="004B3A10"/>
    <w:rsid w:val="004B5CC8"/>
    <w:rsid w:val="004B76F3"/>
    <w:rsid w:val="004B7891"/>
    <w:rsid w:val="004C21C3"/>
    <w:rsid w:val="004C322B"/>
    <w:rsid w:val="004C3C41"/>
    <w:rsid w:val="004C44CA"/>
    <w:rsid w:val="004D138D"/>
    <w:rsid w:val="004D308E"/>
    <w:rsid w:val="004D3578"/>
    <w:rsid w:val="004D61E8"/>
    <w:rsid w:val="004E213A"/>
    <w:rsid w:val="004E310D"/>
    <w:rsid w:val="004E4C20"/>
    <w:rsid w:val="004E5A2B"/>
    <w:rsid w:val="004F0988"/>
    <w:rsid w:val="004F0DAA"/>
    <w:rsid w:val="004F17DA"/>
    <w:rsid w:val="004F276F"/>
    <w:rsid w:val="004F3340"/>
    <w:rsid w:val="004F4772"/>
    <w:rsid w:val="00500285"/>
    <w:rsid w:val="00504087"/>
    <w:rsid w:val="005061C8"/>
    <w:rsid w:val="00506C21"/>
    <w:rsid w:val="005106F8"/>
    <w:rsid w:val="00510F77"/>
    <w:rsid w:val="00511B30"/>
    <w:rsid w:val="00512167"/>
    <w:rsid w:val="00512A84"/>
    <w:rsid w:val="00513519"/>
    <w:rsid w:val="005205AF"/>
    <w:rsid w:val="00521EFC"/>
    <w:rsid w:val="00522566"/>
    <w:rsid w:val="00526540"/>
    <w:rsid w:val="00527184"/>
    <w:rsid w:val="0053388B"/>
    <w:rsid w:val="00535773"/>
    <w:rsid w:val="00541D8E"/>
    <w:rsid w:val="00543E6C"/>
    <w:rsid w:val="00545485"/>
    <w:rsid w:val="00546D44"/>
    <w:rsid w:val="005530BE"/>
    <w:rsid w:val="00553501"/>
    <w:rsid w:val="00553A2C"/>
    <w:rsid w:val="00555E36"/>
    <w:rsid w:val="005569F6"/>
    <w:rsid w:val="00557888"/>
    <w:rsid w:val="0056254B"/>
    <w:rsid w:val="00565087"/>
    <w:rsid w:val="00566C55"/>
    <w:rsid w:val="00566E34"/>
    <w:rsid w:val="005673E6"/>
    <w:rsid w:val="005728F7"/>
    <w:rsid w:val="0057305F"/>
    <w:rsid w:val="005821FA"/>
    <w:rsid w:val="00583AAE"/>
    <w:rsid w:val="00586160"/>
    <w:rsid w:val="00586E2E"/>
    <w:rsid w:val="00586E65"/>
    <w:rsid w:val="00597B11"/>
    <w:rsid w:val="005A406C"/>
    <w:rsid w:val="005A50AF"/>
    <w:rsid w:val="005B23B8"/>
    <w:rsid w:val="005B2952"/>
    <w:rsid w:val="005B41E1"/>
    <w:rsid w:val="005B434B"/>
    <w:rsid w:val="005B66C8"/>
    <w:rsid w:val="005C3B08"/>
    <w:rsid w:val="005C51C5"/>
    <w:rsid w:val="005C6374"/>
    <w:rsid w:val="005C7E70"/>
    <w:rsid w:val="005D0973"/>
    <w:rsid w:val="005D1C05"/>
    <w:rsid w:val="005D2E01"/>
    <w:rsid w:val="005D4141"/>
    <w:rsid w:val="005D6567"/>
    <w:rsid w:val="005D7526"/>
    <w:rsid w:val="005E16A6"/>
    <w:rsid w:val="005E3FC0"/>
    <w:rsid w:val="005E4BB2"/>
    <w:rsid w:val="005E4F29"/>
    <w:rsid w:val="005E5E06"/>
    <w:rsid w:val="005E77FE"/>
    <w:rsid w:val="005E7A47"/>
    <w:rsid w:val="005E7DB1"/>
    <w:rsid w:val="005F2A22"/>
    <w:rsid w:val="005F442B"/>
    <w:rsid w:val="005F4648"/>
    <w:rsid w:val="005F4B90"/>
    <w:rsid w:val="0060053B"/>
    <w:rsid w:val="00602AEA"/>
    <w:rsid w:val="0060521B"/>
    <w:rsid w:val="00610B98"/>
    <w:rsid w:val="006111A7"/>
    <w:rsid w:val="006112FB"/>
    <w:rsid w:val="00611A43"/>
    <w:rsid w:val="00612939"/>
    <w:rsid w:val="00614F2D"/>
    <w:rsid w:val="00614FDF"/>
    <w:rsid w:val="006154A8"/>
    <w:rsid w:val="006167F0"/>
    <w:rsid w:val="00617D8E"/>
    <w:rsid w:val="00622250"/>
    <w:rsid w:val="006225A8"/>
    <w:rsid w:val="006239CC"/>
    <w:rsid w:val="006313B1"/>
    <w:rsid w:val="006316B2"/>
    <w:rsid w:val="00632D53"/>
    <w:rsid w:val="00634C4C"/>
    <w:rsid w:val="0063543D"/>
    <w:rsid w:val="0063585B"/>
    <w:rsid w:val="00636ED5"/>
    <w:rsid w:val="00637128"/>
    <w:rsid w:val="00637BC1"/>
    <w:rsid w:val="00637E60"/>
    <w:rsid w:val="00640442"/>
    <w:rsid w:val="006424B2"/>
    <w:rsid w:val="00642FBE"/>
    <w:rsid w:val="006458E3"/>
    <w:rsid w:val="00646D97"/>
    <w:rsid w:val="00647114"/>
    <w:rsid w:val="006508E6"/>
    <w:rsid w:val="006608BB"/>
    <w:rsid w:val="00661007"/>
    <w:rsid w:val="006638A5"/>
    <w:rsid w:val="00664EA3"/>
    <w:rsid w:val="00665C47"/>
    <w:rsid w:val="00666F56"/>
    <w:rsid w:val="00672074"/>
    <w:rsid w:val="00680220"/>
    <w:rsid w:val="00681528"/>
    <w:rsid w:val="00681A7E"/>
    <w:rsid w:val="00681D9F"/>
    <w:rsid w:val="006835DF"/>
    <w:rsid w:val="0068466B"/>
    <w:rsid w:val="00686506"/>
    <w:rsid w:val="00690EA3"/>
    <w:rsid w:val="00692A53"/>
    <w:rsid w:val="00692F2A"/>
    <w:rsid w:val="00694BAA"/>
    <w:rsid w:val="006A2345"/>
    <w:rsid w:val="006A323F"/>
    <w:rsid w:val="006A35FE"/>
    <w:rsid w:val="006A5EA7"/>
    <w:rsid w:val="006A6F17"/>
    <w:rsid w:val="006B09BB"/>
    <w:rsid w:val="006B1A5B"/>
    <w:rsid w:val="006B257B"/>
    <w:rsid w:val="006B30D0"/>
    <w:rsid w:val="006B608F"/>
    <w:rsid w:val="006C0622"/>
    <w:rsid w:val="006C0E13"/>
    <w:rsid w:val="006C1584"/>
    <w:rsid w:val="006C2C20"/>
    <w:rsid w:val="006C3D95"/>
    <w:rsid w:val="006C614F"/>
    <w:rsid w:val="006D061A"/>
    <w:rsid w:val="006D673B"/>
    <w:rsid w:val="006D6D8D"/>
    <w:rsid w:val="006E04F3"/>
    <w:rsid w:val="006E1CE1"/>
    <w:rsid w:val="006E1D20"/>
    <w:rsid w:val="006E5C86"/>
    <w:rsid w:val="006E6075"/>
    <w:rsid w:val="006E69D1"/>
    <w:rsid w:val="006F13BE"/>
    <w:rsid w:val="006F1CB3"/>
    <w:rsid w:val="006F1DF4"/>
    <w:rsid w:val="006F378B"/>
    <w:rsid w:val="006F61D7"/>
    <w:rsid w:val="00701116"/>
    <w:rsid w:val="00702CB5"/>
    <w:rsid w:val="0070407F"/>
    <w:rsid w:val="007105C0"/>
    <w:rsid w:val="00711BCF"/>
    <w:rsid w:val="00713C44"/>
    <w:rsid w:val="00715CE7"/>
    <w:rsid w:val="0071705A"/>
    <w:rsid w:val="0072157F"/>
    <w:rsid w:val="00722115"/>
    <w:rsid w:val="0072448D"/>
    <w:rsid w:val="00731ADA"/>
    <w:rsid w:val="00734A5B"/>
    <w:rsid w:val="0073651F"/>
    <w:rsid w:val="0073703A"/>
    <w:rsid w:val="0074026F"/>
    <w:rsid w:val="007429F6"/>
    <w:rsid w:val="00742D5C"/>
    <w:rsid w:val="0074395E"/>
    <w:rsid w:val="00743C79"/>
    <w:rsid w:val="00744E76"/>
    <w:rsid w:val="00752B96"/>
    <w:rsid w:val="00755605"/>
    <w:rsid w:val="00755FC3"/>
    <w:rsid w:val="00757425"/>
    <w:rsid w:val="00763C0F"/>
    <w:rsid w:val="007658F0"/>
    <w:rsid w:val="00771C89"/>
    <w:rsid w:val="00774DA4"/>
    <w:rsid w:val="00775B27"/>
    <w:rsid w:val="00780996"/>
    <w:rsid w:val="00781CDC"/>
    <w:rsid w:val="00781F0F"/>
    <w:rsid w:val="00784B9C"/>
    <w:rsid w:val="007877D6"/>
    <w:rsid w:val="0079106B"/>
    <w:rsid w:val="00795B50"/>
    <w:rsid w:val="00795D31"/>
    <w:rsid w:val="00796647"/>
    <w:rsid w:val="00797E7E"/>
    <w:rsid w:val="007A03AB"/>
    <w:rsid w:val="007A1C93"/>
    <w:rsid w:val="007A2A52"/>
    <w:rsid w:val="007A2FC3"/>
    <w:rsid w:val="007A5160"/>
    <w:rsid w:val="007B0D22"/>
    <w:rsid w:val="007B522A"/>
    <w:rsid w:val="007B600E"/>
    <w:rsid w:val="007B65FE"/>
    <w:rsid w:val="007B6E77"/>
    <w:rsid w:val="007B70A9"/>
    <w:rsid w:val="007C0B7F"/>
    <w:rsid w:val="007C5244"/>
    <w:rsid w:val="007C6895"/>
    <w:rsid w:val="007C7F99"/>
    <w:rsid w:val="007D134A"/>
    <w:rsid w:val="007D415E"/>
    <w:rsid w:val="007D75A6"/>
    <w:rsid w:val="007E2B02"/>
    <w:rsid w:val="007E4589"/>
    <w:rsid w:val="007E4807"/>
    <w:rsid w:val="007E53B3"/>
    <w:rsid w:val="007E6214"/>
    <w:rsid w:val="007F0F4A"/>
    <w:rsid w:val="007F2DDE"/>
    <w:rsid w:val="007F30FF"/>
    <w:rsid w:val="007F381D"/>
    <w:rsid w:val="007F4ACF"/>
    <w:rsid w:val="007F4B06"/>
    <w:rsid w:val="007F582C"/>
    <w:rsid w:val="008001EB"/>
    <w:rsid w:val="008028A4"/>
    <w:rsid w:val="0081120B"/>
    <w:rsid w:val="0081131F"/>
    <w:rsid w:val="00811505"/>
    <w:rsid w:val="008126D9"/>
    <w:rsid w:val="00813B69"/>
    <w:rsid w:val="00813D0B"/>
    <w:rsid w:val="00814C71"/>
    <w:rsid w:val="008201BF"/>
    <w:rsid w:val="00820793"/>
    <w:rsid w:val="00820E3D"/>
    <w:rsid w:val="008214EF"/>
    <w:rsid w:val="00822BB3"/>
    <w:rsid w:val="00824FD1"/>
    <w:rsid w:val="00830747"/>
    <w:rsid w:val="00834CA8"/>
    <w:rsid w:val="0083536D"/>
    <w:rsid w:val="0083684A"/>
    <w:rsid w:val="008371BD"/>
    <w:rsid w:val="008444CF"/>
    <w:rsid w:val="00850043"/>
    <w:rsid w:val="00851213"/>
    <w:rsid w:val="00851BC9"/>
    <w:rsid w:val="00853379"/>
    <w:rsid w:val="008559B3"/>
    <w:rsid w:val="0085793A"/>
    <w:rsid w:val="00861F35"/>
    <w:rsid w:val="00863047"/>
    <w:rsid w:val="008672F6"/>
    <w:rsid w:val="00871A11"/>
    <w:rsid w:val="00873866"/>
    <w:rsid w:val="008768CA"/>
    <w:rsid w:val="00880CE9"/>
    <w:rsid w:val="008825C8"/>
    <w:rsid w:val="00883219"/>
    <w:rsid w:val="00883C0F"/>
    <w:rsid w:val="00885191"/>
    <w:rsid w:val="00885367"/>
    <w:rsid w:val="00886677"/>
    <w:rsid w:val="00891184"/>
    <w:rsid w:val="0089445F"/>
    <w:rsid w:val="00894C76"/>
    <w:rsid w:val="0089783C"/>
    <w:rsid w:val="008A6355"/>
    <w:rsid w:val="008A6463"/>
    <w:rsid w:val="008A78E4"/>
    <w:rsid w:val="008B40E8"/>
    <w:rsid w:val="008B6243"/>
    <w:rsid w:val="008C2183"/>
    <w:rsid w:val="008C384C"/>
    <w:rsid w:val="008C497F"/>
    <w:rsid w:val="008C52FC"/>
    <w:rsid w:val="008C6791"/>
    <w:rsid w:val="008C7543"/>
    <w:rsid w:val="008D1FC3"/>
    <w:rsid w:val="008D216F"/>
    <w:rsid w:val="008D3248"/>
    <w:rsid w:val="008D4E96"/>
    <w:rsid w:val="008D5D78"/>
    <w:rsid w:val="008E617C"/>
    <w:rsid w:val="008E7065"/>
    <w:rsid w:val="008E7196"/>
    <w:rsid w:val="008F12E8"/>
    <w:rsid w:val="008F56A4"/>
    <w:rsid w:val="00900E9F"/>
    <w:rsid w:val="0090271F"/>
    <w:rsid w:val="00902BD8"/>
    <w:rsid w:val="00902E23"/>
    <w:rsid w:val="00903179"/>
    <w:rsid w:val="00905556"/>
    <w:rsid w:val="0090584E"/>
    <w:rsid w:val="00906361"/>
    <w:rsid w:val="00907F36"/>
    <w:rsid w:val="009114D7"/>
    <w:rsid w:val="00913323"/>
    <w:rsid w:val="0091348E"/>
    <w:rsid w:val="009167A4"/>
    <w:rsid w:val="00917674"/>
    <w:rsid w:val="00917CCB"/>
    <w:rsid w:val="00923C5A"/>
    <w:rsid w:val="009248F4"/>
    <w:rsid w:val="00924DC5"/>
    <w:rsid w:val="00930D26"/>
    <w:rsid w:val="00936C11"/>
    <w:rsid w:val="00937B2C"/>
    <w:rsid w:val="00937F60"/>
    <w:rsid w:val="00940085"/>
    <w:rsid w:val="0094069F"/>
    <w:rsid w:val="00942031"/>
    <w:rsid w:val="00942EC2"/>
    <w:rsid w:val="00943137"/>
    <w:rsid w:val="009525FD"/>
    <w:rsid w:val="00954081"/>
    <w:rsid w:val="00955113"/>
    <w:rsid w:val="0095775E"/>
    <w:rsid w:val="009615F4"/>
    <w:rsid w:val="00962A58"/>
    <w:rsid w:val="00962DBF"/>
    <w:rsid w:val="00963A14"/>
    <w:rsid w:val="00964EEE"/>
    <w:rsid w:val="0096527D"/>
    <w:rsid w:val="00973023"/>
    <w:rsid w:val="0098113E"/>
    <w:rsid w:val="00981E0C"/>
    <w:rsid w:val="00981EC4"/>
    <w:rsid w:val="00985F99"/>
    <w:rsid w:val="00987676"/>
    <w:rsid w:val="00991EB3"/>
    <w:rsid w:val="00994672"/>
    <w:rsid w:val="00996CAF"/>
    <w:rsid w:val="0099733C"/>
    <w:rsid w:val="00997F88"/>
    <w:rsid w:val="009A0E0B"/>
    <w:rsid w:val="009A218F"/>
    <w:rsid w:val="009A2DC9"/>
    <w:rsid w:val="009A4C84"/>
    <w:rsid w:val="009B33DF"/>
    <w:rsid w:val="009B57A6"/>
    <w:rsid w:val="009C1A4C"/>
    <w:rsid w:val="009C2CAA"/>
    <w:rsid w:val="009C37AC"/>
    <w:rsid w:val="009C3E5A"/>
    <w:rsid w:val="009C5207"/>
    <w:rsid w:val="009C6C18"/>
    <w:rsid w:val="009C7720"/>
    <w:rsid w:val="009C796C"/>
    <w:rsid w:val="009D1916"/>
    <w:rsid w:val="009D1CEA"/>
    <w:rsid w:val="009D2935"/>
    <w:rsid w:val="009D3636"/>
    <w:rsid w:val="009D4CD5"/>
    <w:rsid w:val="009D5B8A"/>
    <w:rsid w:val="009D634C"/>
    <w:rsid w:val="009D6483"/>
    <w:rsid w:val="009D7CAD"/>
    <w:rsid w:val="009E1799"/>
    <w:rsid w:val="009E2065"/>
    <w:rsid w:val="009E22D5"/>
    <w:rsid w:val="009E4573"/>
    <w:rsid w:val="009E6137"/>
    <w:rsid w:val="009E671D"/>
    <w:rsid w:val="009E6E1E"/>
    <w:rsid w:val="009E6E6B"/>
    <w:rsid w:val="009F09E2"/>
    <w:rsid w:val="009F32B4"/>
    <w:rsid w:val="009F32D6"/>
    <w:rsid w:val="009F37B7"/>
    <w:rsid w:val="009F48DC"/>
    <w:rsid w:val="009F6E84"/>
    <w:rsid w:val="00A018B1"/>
    <w:rsid w:val="00A01A5D"/>
    <w:rsid w:val="00A03C69"/>
    <w:rsid w:val="00A03F01"/>
    <w:rsid w:val="00A06E23"/>
    <w:rsid w:val="00A10F02"/>
    <w:rsid w:val="00A13648"/>
    <w:rsid w:val="00A138FB"/>
    <w:rsid w:val="00A13B0D"/>
    <w:rsid w:val="00A15DB9"/>
    <w:rsid w:val="00A164B4"/>
    <w:rsid w:val="00A2069A"/>
    <w:rsid w:val="00A208F7"/>
    <w:rsid w:val="00A20B0D"/>
    <w:rsid w:val="00A21591"/>
    <w:rsid w:val="00A23F45"/>
    <w:rsid w:val="00A26881"/>
    <w:rsid w:val="00A26956"/>
    <w:rsid w:val="00A27486"/>
    <w:rsid w:val="00A3285B"/>
    <w:rsid w:val="00A36F66"/>
    <w:rsid w:val="00A41978"/>
    <w:rsid w:val="00A42E3E"/>
    <w:rsid w:val="00A448EC"/>
    <w:rsid w:val="00A50CC3"/>
    <w:rsid w:val="00A53724"/>
    <w:rsid w:val="00A55F65"/>
    <w:rsid w:val="00A56066"/>
    <w:rsid w:val="00A608A3"/>
    <w:rsid w:val="00A64142"/>
    <w:rsid w:val="00A64869"/>
    <w:rsid w:val="00A66269"/>
    <w:rsid w:val="00A6691D"/>
    <w:rsid w:val="00A67C66"/>
    <w:rsid w:val="00A72DCA"/>
    <w:rsid w:val="00A73129"/>
    <w:rsid w:val="00A73FB1"/>
    <w:rsid w:val="00A82346"/>
    <w:rsid w:val="00A8360C"/>
    <w:rsid w:val="00A845A3"/>
    <w:rsid w:val="00A84EDE"/>
    <w:rsid w:val="00A9204B"/>
    <w:rsid w:val="00A92208"/>
    <w:rsid w:val="00A922A4"/>
    <w:rsid w:val="00A92BA1"/>
    <w:rsid w:val="00A9466E"/>
    <w:rsid w:val="00A95C70"/>
    <w:rsid w:val="00A9652F"/>
    <w:rsid w:val="00AA02E5"/>
    <w:rsid w:val="00AA377C"/>
    <w:rsid w:val="00AA3ED4"/>
    <w:rsid w:val="00AA41A0"/>
    <w:rsid w:val="00AA4A19"/>
    <w:rsid w:val="00AA5CC0"/>
    <w:rsid w:val="00AB06C5"/>
    <w:rsid w:val="00AB1891"/>
    <w:rsid w:val="00AB2E1B"/>
    <w:rsid w:val="00AB4371"/>
    <w:rsid w:val="00AB542D"/>
    <w:rsid w:val="00AB6CAD"/>
    <w:rsid w:val="00AC428A"/>
    <w:rsid w:val="00AC58B5"/>
    <w:rsid w:val="00AC6BC6"/>
    <w:rsid w:val="00AC7DAC"/>
    <w:rsid w:val="00AD174D"/>
    <w:rsid w:val="00AD187F"/>
    <w:rsid w:val="00AD2C8F"/>
    <w:rsid w:val="00AD31EF"/>
    <w:rsid w:val="00AD39D6"/>
    <w:rsid w:val="00AD72E9"/>
    <w:rsid w:val="00AD72ED"/>
    <w:rsid w:val="00AE4FD0"/>
    <w:rsid w:val="00AE65E2"/>
    <w:rsid w:val="00AF0D18"/>
    <w:rsid w:val="00AF1AC5"/>
    <w:rsid w:val="00AF2773"/>
    <w:rsid w:val="00AF3C2A"/>
    <w:rsid w:val="00AF52E7"/>
    <w:rsid w:val="00AF5DAB"/>
    <w:rsid w:val="00AF6863"/>
    <w:rsid w:val="00AF687B"/>
    <w:rsid w:val="00B0605E"/>
    <w:rsid w:val="00B064BC"/>
    <w:rsid w:val="00B06848"/>
    <w:rsid w:val="00B11B41"/>
    <w:rsid w:val="00B12848"/>
    <w:rsid w:val="00B149EA"/>
    <w:rsid w:val="00B14C29"/>
    <w:rsid w:val="00B15449"/>
    <w:rsid w:val="00B15532"/>
    <w:rsid w:val="00B15CFC"/>
    <w:rsid w:val="00B22E05"/>
    <w:rsid w:val="00B22F44"/>
    <w:rsid w:val="00B22FB1"/>
    <w:rsid w:val="00B2795E"/>
    <w:rsid w:val="00B35607"/>
    <w:rsid w:val="00B37152"/>
    <w:rsid w:val="00B41624"/>
    <w:rsid w:val="00B43A3D"/>
    <w:rsid w:val="00B466BF"/>
    <w:rsid w:val="00B470FA"/>
    <w:rsid w:val="00B50823"/>
    <w:rsid w:val="00B519C3"/>
    <w:rsid w:val="00B51D40"/>
    <w:rsid w:val="00B5507A"/>
    <w:rsid w:val="00B574E4"/>
    <w:rsid w:val="00B57A05"/>
    <w:rsid w:val="00B66CDC"/>
    <w:rsid w:val="00B66DD7"/>
    <w:rsid w:val="00B70DF9"/>
    <w:rsid w:val="00B71590"/>
    <w:rsid w:val="00B80289"/>
    <w:rsid w:val="00B80EED"/>
    <w:rsid w:val="00B81824"/>
    <w:rsid w:val="00B81C62"/>
    <w:rsid w:val="00B82404"/>
    <w:rsid w:val="00B84246"/>
    <w:rsid w:val="00B92B9C"/>
    <w:rsid w:val="00B93086"/>
    <w:rsid w:val="00B93FB3"/>
    <w:rsid w:val="00B96378"/>
    <w:rsid w:val="00B96659"/>
    <w:rsid w:val="00BA178D"/>
    <w:rsid w:val="00BA19ED"/>
    <w:rsid w:val="00BA1BB8"/>
    <w:rsid w:val="00BA27BE"/>
    <w:rsid w:val="00BA3958"/>
    <w:rsid w:val="00BA45B7"/>
    <w:rsid w:val="00BA4B8D"/>
    <w:rsid w:val="00BA6037"/>
    <w:rsid w:val="00BB0B89"/>
    <w:rsid w:val="00BB0BD3"/>
    <w:rsid w:val="00BB3879"/>
    <w:rsid w:val="00BB6C10"/>
    <w:rsid w:val="00BB7732"/>
    <w:rsid w:val="00BC0519"/>
    <w:rsid w:val="00BC0F7D"/>
    <w:rsid w:val="00BC1361"/>
    <w:rsid w:val="00BC1732"/>
    <w:rsid w:val="00BC207A"/>
    <w:rsid w:val="00BD0D71"/>
    <w:rsid w:val="00BD4CA7"/>
    <w:rsid w:val="00BD5AAB"/>
    <w:rsid w:val="00BD7D31"/>
    <w:rsid w:val="00BE3255"/>
    <w:rsid w:val="00BE3C60"/>
    <w:rsid w:val="00BE5B49"/>
    <w:rsid w:val="00BF0379"/>
    <w:rsid w:val="00BF128E"/>
    <w:rsid w:val="00BF4873"/>
    <w:rsid w:val="00BF6BB9"/>
    <w:rsid w:val="00BF78B8"/>
    <w:rsid w:val="00C02679"/>
    <w:rsid w:val="00C026C1"/>
    <w:rsid w:val="00C04C85"/>
    <w:rsid w:val="00C05155"/>
    <w:rsid w:val="00C05C20"/>
    <w:rsid w:val="00C068B1"/>
    <w:rsid w:val="00C068D0"/>
    <w:rsid w:val="00C074DD"/>
    <w:rsid w:val="00C1496A"/>
    <w:rsid w:val="00C14C4F"/>
    <w:rsid w:val="00C15C46"/>
    <w:rsid w:val="00C20A74"/>
    <w:rsid w:val="00C20FC2"/>
    <w:rsid w:val="00C26FAB"/>
    <w:rsid w:val="00C27B73"/>
    <w:rsid w:val="00C27F2B"/>
    <w:rsid w:val="00C33079"/>
    <w:rsid w:val="00C348D8"/>
    <w:rsid w:val="00C34B61"/>
    <w:rsid w:val="00C35E05"/>
    <w:rsid w:val="00C4104E"/>
    <w:rsid w:val="00C416BA"/>
    <w:rsid w:val="00C41F2A"/>
    <w:rsid w:val="00C421D4"/>
    <w:rsid w:val="00C42517"/>
    <w:rsid w:val="00C43F41"/>
    <w:rsid w:val="00C44398"/>
    <w:rsid w:val="00C444F6"/>
    <w:rsid w:val="00C45231"/>
    <w:rsid w:val="00C5084A"/>
    <w:rsid w:val="00C57341"/>
    <w:rsid w:val="00C60A58"/>
    <w:rsid w:val="00C62172"/>
    <w:rsid w:val="00C64D5C"/>
    <w:rsid w:val="00C705D5"/>
    <w:rsid w:val="00C72833"/>
    <w:rsid w:val="00C75CC3"/>
    <w:rsid w:val="00C77963"/>
    <w:rsid w:val="00C80F1D"/>
    <w:rsid w:val="00C81B52"/>
    <w:rsid w:val="00C822ED"/>
    <w:rsid w:val="00C85ECC"/>
    <w:rsid w:val="00C90003"/>
    <w:rsid w:val="00C93F40"/>
    <w:rsid w:val="00C94DC6"/>
    <w:rsid w:val="00CA0494"/>
    <w:rsid w:val="00CA0CA9"/>
    <w:rsid w:val="00CA315F"/>
    <w:rsid w:val="00CA3D0C"/>
    <w:rsid w:val="00CA3EBA"/>
    <w:rsid w:val="00CA3F69"/>
    <w:rsid w:val="00CA43E4"/>
    <w:rsid w:val="00CA4861"/>
    <w:rsid w:val="00CA4F19"/>
    <w:rsid w:val="00CA7E1B"/>
    <w:rsid w:val="00CB0749"/>
    <w:rsid w:val="00CB2F47"/>
    <w:rsid w:val="00CB2F78"/>
    <w:rsid w:val="00CB5554"/>
    <w:rsid w:val="00CC33C4"/>
    <w:rsid w:val="00CC3765"/>
    <w:rsid w:val="00CC4BC3"/>
    <w:rsid w:val="00CC53D4"/>
    <w:rsid w:val="00CC6314"/>
    <w:rsid w:val="00CC7AFD"/>
    <w:rsid w:val="00CD2E3D"/>
    <w:rsid w:val="00CD35AE"/>
    <w:rsid w:val="00CE1C7C"/>
    <w:rsid w:val="00CE3B55"/>
    <w:rsid w:val="00CE5DB1"/>
    <w:rsid w:val="00CE72CE"/>
    <w:rsid w:val="00CF1A8D"/>
    <w:rsid w:val="00CF1C1B"/>
    <w:rsid w:val="00CF4633"/>
    <w:rsid w:val="00CF6F22"/>
    <w:rsid w:val="00D00A17"/>
    <w:rsid w:val="00D01EB1"/>
    <w:rsid w:val="00D02F3F"/>
    <w:rsid w:val="00D04D34"/>
    <w:rsid w:val="00D109B4"/>
    <w:rsid w:val="00D10DE3"/>
    <w:rsid w:val="00D12A57"/>
    <w:rsid w:val="00D13BE3"/>
    <w:rsid w:val="00D1459A"/>
    <w:rsid w:val="00D1597E"/>
    <w:rsid w:val="00D15BA5"/>
    <w:rsid w:val="00D17E90"/>
    <w:rsid w:val="00D2295B"/>
    <w:rsid w:val="00D24EE8"/>
    <w:rsid w:val="00D26512"/>
    <w:rsid w:val="00D3404F"/>
    <w:rsid w:val="00D3462E"/>
    <w:rsid w:val="00D36626"/>
    <w:rsid w:val="00D36BB1"/>
    <w:rsid w:val="00D40186"/>
    <w:rsid w:val="00D401A7"/>
    <w:rsid w:val="00D54485"/>
    <w:rsid w:val="00D544DE"/>
    <w:rsid w:val="00D56A91"/>
    <w:rsid w:val="00D5742B"/>
    <w:rsid w:val="00D57972"/>
    <w:rsid w:val="00D61AEE"/>
    <w:rsid w:val="00D6299F"/>
    <w:rsid w:val="00D6424A"/>
    <w:rsid w:val="00D65091"/>
    <w:rsid w:val="00D655D5"/>
    <w:rsid w:val="00D675A9"/>
    <w:rsid w:val="00D67F4A"/>
    <w:rsid w:val="00D738D6"/>
    <w:rsid w:val="00D75471"/>
    <w:rsid w:val="00D755EB"/>
    <w:rsid w:val="00D76048"/>
    <w:rsid w:val="00D76377"/>
    <w:rsid w:val="00D848A2"/>
    <w:rsid w:val="00D87E00"/>
    <w:rsid w:val="00D9134D"/>
    <w:rsid w:val="00D916D5"/>
    <w:rsid w:val="00D937D9"/>
    <w:rsid w:val="00D946CE"/>
    <w:rsid w:val="00DA14AA"/>
    <w:rsid w:val="00DA3AC0"/>
    <w:rsid w:val="00DA5CA3"/>
    <w:rsid w:val="00DA5FEB"/>
    <w:rsid w:val="00DA7A03"/>
    <w:rsid w:val="00DB14C8"/>
    <w:rsid w:val="00DB1818"/>
    <w:rsid w:val="00DB1F0F"/>
    <w:rsid w:val="00DB5BFB"/>
    <w:rsid w:val="00DB7584"/>
    <w:rsid w:val="00DC309B"/>
    <w:rsid w:val="00DC4DA2"/>
    <w:rsid w:val="00DC53AC"/>
    <w:rsid w:val="00DD0ABC"/>
    <w:rsid w:val="00DD3CAE"/>
    <w:rsid w:val="00DD4C17"/>
    <w:rsid w:val="00DD5F90"/>
    <w:rsid w:val="00DD74A5"/>
    <w:rsid w:val="00DE4B36"/>
    <w:rsid w:val="00DF20E7"/>
    <w:rsid w:val="00DF2B1F"/>
    <w:rsid w:val="00DF36E6"/>
    <w:rsid w:val="00DF5A45"/>
    <w:rsid w:val="00DF62CD"/>
    <w:rsid w:val="00DF6C6C"/>
    <w:rsid w:val="00E004B0"/>
    <w:rsid w:val="00E00968"/>
    <w:rsid w:val="00E0214B"/>
    <w:rsid w:val="00E02F00"/>
    <w:rsid w:val="00E07228"/>
    <w:rsid w:val="00E07700"/>
    <w:rsid w:val="00E11E51"/>
    <w:rsid w:val="00E12199"/>
    <w:rsid w:val="00E121C1"/>
    <w:rsid w:val="00E14F1D"/>
    <w:rsid w:val="00E16063"/>
    <w:rsid w:val="00E16509"/>
    <w:rsid w:val="00E3026D"/>
    <w:rsid w:val="00E30B50"/>
    <w:rsid w:val="00E33423"/>
    <w:rsid w:val="00E336A3"/>
    <w:rsid w:val="00E34FFF"/>
    <w:rsid w:val="00E37B67"/>
    <w:rsid w:val="00E40D92"/>
    <w:rsid w:val="00E41DF0"/>
    <w:rsid w:val="00E43735"/>
    <w:rsid w:val="00E4409C"/>
    <w:rsid w:val="00E44582"/>
    <w:rsid w:val="00E46F23"/>
    <w:rsid w:val="00E50CDE"/>
    <w:rsid w:val="00E61EEA"/>
    <w:rsid w:val="00E64E42"/>
    <w:rsid w:val="00E66316"/>
    <w:rsid w:val="00E6644B"/>
    <w:rsid w:val="00E742E0"/>
    <w:rsid w:val="00E75055"/>
    <w:rsid w:val="00E7535A"/>
    <w:rsid w:val="00E77645"/>
    <w:rsid w:val="00E80CCD"/>
    <w:rsid w:val="00E81826"/>
    <w:rsid w:val="00E8199E"/>
    <w:rsid w:val="00E83223"/>
    <w:rsid w:val="00E879D4"/>
    <w:rsid w:val="00E87E60"/>
    <w:rsid w:val="00E92486"/>
    <w:rsid w:val="00E9279B"/>
    <w:rsid w:val="00E92AFB"/>
    <w:rsid w:val="00E93AE8"/>
    <w:rsid w:val="00E9518C"/>
    <w:rsid w:val="00E97061"/>
    <w:rsid w:val="00EA0ED1"/>
    <w:rsid w:val="00EA15B0"/>
    <w:rsid w:val="00EA3F5F"/>
    <w:rsid w:val="00EA4606"/>
    <w:rsid w:val="00EA5EA7"/>
    <w:rsid w:val="00EA5F29"/>
    <w:rsid w:val="00EA677D"/>
    <w:rsid w:val="00EA7A16"/>
    <w:rsid w:val="00EB0E47"/>
    <w:rsid w:val="00EB11AA"/>
    <w:rsid w:val="00EB2146"/>
    <w:rsid w:val="00EB3AA4"/>
    <w:rsid w:val="00EB5EDB"/>
    <w:rsid w:val="00EB6950"/>
    <w:rsid w:val="00EC31B9"/>
    <w:rsid w:val="00EC4A25"/>
    <w:rsid w:val="00EC5627"/>
    <w:rsid w:val="00EC7E01"/>
    <w:rsid w:val="00ED5D3F"/>
    <w:rsid w:val="00ED6882"/>
    <w:rsid w:val="00EE0742"/>
    <w:rsid w:val="00EE340D"/>
    <w:rsid w:val="00EE46DF"/>
    <w:rsid w:val="00EE4EAB"/>
    <w:rsid w:val="00EF13CA"/>
    <w:rsid w:val="00EF1A28"/>
    <w:rsid w:val="00EF222A"/>
    <w:rsid w:val="00EF6877"/>
    <w:rsid w:val="00EF6F9D"/>
    <w:rsid w:val="00EF7301"/>
    <w:rsid w:val="00F00AEE"/>
    <w:rsid w:val="00F025A2"/>
    <w:rsid w:val="00F034D7"/>
    <w:rsid w:val="00F04712"/>
    <w:rsid w:val="00F04E8A"/>
    <w:rsid w:val="00F06AFF"/>
    <w:rsid w:val="00F0742C"/>
    <w:rsid w:val="00F10E5B"/>
    <w:rsid w:val="00F110F8"/>
    <w:rsid w:val="00F116E1"/>
    <w:rsid w:val="00F13261"/>
    <w:rsid w:val="00F13360"/>
    <w:rsid w:val="00F146FD"/>
    <w:rsid w:val="00F16865"/>
    <w:rsid w:val="00F22EC7"/>
    <w:rsid w:val="00F245D2"/>
    <w:rsid w:val="00F30688"/>
    <w:rsid w:val="00F30943"/>
    <w:rsid w:val="00F31627"/>
    <w:rsid w:val="00F320D7"/>
    <w:rsid w:val="00F325C8"/>
    <w:rsid w:val="00F33249"/>
    <w:rsid w:val="00F34521"/>
    <w:rsid w:val="00F36C35"/>
    <w:rsid w:val="00F40ED8"/>
    <w:rsid w:val="00F41965"/>
    <w:rsid w:val="00F4440D"/>
    <w:rsid w:val="00F46A8E"/>
    <w:rsid w:val="00F46D20"/>
    <w:rsid w:val="00F478AC"/>
    <w:rsid w:val="00F50EA4"/>
    <w:rsid w:val="00F5278F"/>
    <w:rsid w:val="00F566EC"/>
    <w:rsid w:val="00F56A93"/>
    <w:rsid w:val="00F56F21"/>
    <w:rsid w:val="00F56FBF"/>
    <w:rsid w:val="00F57C11"/>
    <w:rsid w:val="00F603A2"/>
    <w:rsid w:val="00F61C24"/>
    <w:rsid w:val="00F653B8"/>
    <w:rsid w:val="00F70E12"/>
    <w:rsid w:val="00F71F5D"/>
    <w:rsid w:val="00F76708"/>
    <w:rsid w:val="00F770B0"/>
    <w:rsid w:val="00F80895"/>
    <w:rsid w:val="00F823E8"/>
    <w:rsid w:val="00F82F20"/>
    <w:rsid w:val="00F8323C"/>
    <w:rsid w:val="00F83241"/>
    <w:rsid w:val="00F85633"/>
    <w:rsid w:val="00F86D25"/>
    <w:rsid w:val="00F9008D"/>
    <w:rsid w:val="00F90A35"/>
    <w:rsid w:val="00F91B03"/>
    <w:rsid w:val="00F92B88"/>
    <w:rsid w:val="00F9321B"/>
    <w:rsid w:val="00F96B7A"/>
    <w:rsid w:val="00F96CA7"/>
    <w:rsid w:val="00F97760"/>
    <w:rsid w:val="00FA1266"/>
    <w:rsid w:val="00FA4839"/>
    <w:rsid w:val="00FA55FD"/>
    <w:rsid w:val="00FA5C12"/>
    <w:rsid w:val="00FA65C5"/>
    <w:rsid w:val="00FA7F0F"/>
    <w:rsid w:val="00FB0F6D"/>
    <w:rsid w:val="00FB2A42"/>
    <w:rsid w:val="00FB4FFD"/>
    <w:rsid w:val="00FB68DE"/>
    <w:rsid w:val="00FB7915"/>
    <w:rsid w:val="00FC06D6"/>
    <w:rsid w:val="00FC0C02"/>
    <w:rsid w:val="00FC1192"/>
    <w:rsid w:val="00FC3F2D"/>
    <w:rsid w:val="00FD0C3E"/>
    <w:rsid w:val="00FD0E4A"/>
    <w:rsid w:val="00FD324B"/>
    <w:rsid w:val="00FD3C35"/>
    <w:rsid w:val="00FD44B5"/>
    <w:rsid w:val="00FE3E7F"/>
    <w:rsid w:val="00FE4BC9"/>
    <w:rsid w:val="00FF1E1D"/>
    <w:rsid w:val="00FF2032"/>
    <w:rsid w:val="00FF56F2"/>
    <w:rsid w:val="00FF6227"/>
    <w:rsid w:val="010411BC"/>
    <w:rsid w:val="010463A9"/>
    <w:rsid w:val="010A58F6"/>
    <w:rsid w:val="010C5220"/>
    <w:rsid w:val="010D1712"/>
    <w:rsid w:val="011629BA"/>
    <w:rsid w:val="01186239"/>
    <w:rsid w:val="011F1EB6"/>
    <w:rsid w:val="01254562"/>
    <w:rsid w:val="012754D5"/>
    <w:rsid w:val="012810B4"/>
    <w:rsid w:val="01304A6D"/>
    <w:rsid w:val="01350C9C"/>
    <w:rsid w:val="01410DC2"/>
    <w:rsid w:val="014A5F40"/>
    <w:rsid w:val="01670E89"/>
    <w:rsid w:val="0172290D"/>
    <w:rsid w:val="01750D8F"/>
    <w:rsid w:val="01821808"/>
    <w:rsid w:val="01907C39"/>
    <w:rsid w:val="019D47B9"/>
    <w:rsid w:val="01A24D10"/>
    <w:rsid w:val="01A431CF"/>
    <w:rsid w:val="01A62A5F"/>
    <w:rsid w:val="01A83D2A"/>
    <w:rsid w:val="01AB71A3"/>
    <w:rsid w:val="01B916AE"/>
    <w:rsid w:val="01E27A17"/>
    <w:rsid w:val="01EF4C5F"/>
    <w:rsid w:val="01FC1528"/>
    <w:rsid w:val="020D13EC"/>
    <w:rsid w:val="020F04D1"/>
    <w:rsid w:val="021B4C43"/>
    <w:rsid w:val="021F037B"/>
    <w:rsid w:val="021F1E76"/>
    <w:rsid w:val="02222F6B"/>
    <w:rsid w:val="02365315"/>
    <w:rsid w:val="0241623D"/>
    <w:rsid w:val="024205C1"/>
    <w:rsid w:val="02436E30"/>
    <w:rsid w:val="024411A6"/>
    <w:rsid w:val="024950FD"/>
    <w:rsid w:val="02780E59"/>
    <w:rsid w:val="02870AC3"/>
    <w:rsid w:val="029011A2"/>
    <w:rsid w:val="0293168A"/>
    <w:rsid w:val="029E2444"/>
    <w:rsid w:val="02A32770"/>
    <w:rsid w:val="02A82449"/>
    <w:rsid w:val="02AA449C"/>
    <w:rsid w:val="02C842AB"/>
    <w:rsid w:val="02C846D5"/>
    <w:rsid w:val="02D3400F"/>
    <w:rsid w:val="02EA3D10"/>
    <w:rsid w:val="02EE768C"/>
    <w:rsid w:val="02EF7270"/>
    <w:rsid w:val="02FA3295"/>
    <w:rsid w:val="030635BF"/>
    <w:rsid w:val="03147FC3"/>
    <w:rsid w:val="03315CCB"/>
    <w:rsid w:val="033C633F"/>
    <w:rsid w:val="034B0848"/>
    <w:rsid w:val="037F7FC9"/>
    <w:rsid w:val="03802426"/>
    <w:rsid w:val="038134CC"/>
    <w:rsid w:val="038650C3"/>
    <w:rsid w:val="038E2BAF"/>
    <w:rsid w:val="0393742E"/>
    <w:rsid w:val="03B504A3"/>
    <w:rsid w:val="03B51388"/>
    <w:rsid w:val="03B859B9"/>
    <w:rsid w:val="03BF3D9F"/>
    <w:rsid w:val="03C42540"/>
    <w:rsid w:val="03CF1334"/>
    <w:rsid w:val="03D00F10"/>
    <w:rsid w:val="03D04EBF"/>
    <w:rsid w:val="03D16E47"/>
    <w:rsid w:val="03D71CDD"/>
    <w:rsid w:val="03DA5E55"/>
    <w:rsid w:val="03FD04B9"/>
    <w:rsid w:val="040527C6"/>
    <w:rsid w:val="04076F95"/>
    <w:rsid w:val="040B3BAC"/>
    <w:rsid w:val="041A4C5F"/>
    <w:rsid w:val="04241DDC"/>
    <w:rsid w:val="04360EAA"/>
    <w:rsid w:val="04405E89"/>
    <w:rsid w:val="04426E50"/>
    <w:rsid w:val="044573E4"/>
    <w:rsid w:val="044B12E0"/>
    <w:rsid w:val="044C3DBA"/>
    <w:rsid w:val="045B1EC0"/>
    <w:rsid w:val="04615211"/>
    <w:rsid w:val="046301A2"/>
    <w:rsid w:val="04677145"/>
    <w:rsid w:val="04732FB8"/>
    <w:rsid w:val="047C1510"/>
    <w:rsid w:val="04845678"/>
    <w:rsid w:val="04871DE8"/>
    <w:rsid w:val="048E1B5D"/>
    <w:rsid w:val="04962DE5"/>
    <w:rsid w:val="049C29DF"/>
    <w:rsid w:val="04A03521"/>
    <w:rsid w:val="04A12403"/>
    <w:rsid w:val="04A66AE4"/>
    <w:rsid w:val="04A815F7"/>
    <w:rsid w:val="04A8589D"/>
    <w:rsid w:val="04AD06A4"/>
    <w:rsid w:val="04B03BBE"/>
    <w:rsid w:val="04B90C03"/>
    <w:rsid w:val="04BB3D53"/>
    <w:rsid w:val="04C5278D"/>
    <w:rsid w:val="04C736E8"/>
    <w:rsid w:val="04DF2447"/>
    <w:rsid w:val="04E2474C"/>
    <w:rsid w:val="04F027A9"/>
    <w:rsid w:val="04FA6113"/>
    <w:rsid w:val="05072077"/>
    <w:rsid w:val="05094EE0"/>
    <w:rsid w:val="050C7718"/>
    <w:rsid w:val="05214F03"/>
    <w:rsid w:val="052460FB"/>
    <w:rsid w:val="05327261"/>
    <w:rsid w:val="05420B8A"/>
    <w:rsid w:val="054470A7"/>
    <w:rsid w:val="05482E38"/>
    <w:rsid w:val="054C2022"/>
    <w:rsid w:val="054D2BA5"/>
    <w:rsid w:val="055D2C8A"/>
    <w:rsid w:val="055F47D2"/>
    <w:rsid w:val="056623E8"/>
    <w:rsid w:val="05676E89"/>
    <w:rsid w:val="05687863"/>
    <w:rsid w:val="05695402"/>
    <w:rsid w:val="056E3078"/>
    <w:rsid w:val="056F2CF7"/>
    <w:rsid w:val="057A0D67"/>
    <w:rsid w:val="05812B41"/>
    <w:rsid w:val="05840617"/>
    <w:rsid w:val="05914531"/>
    <w:rsid w:val="05915B61"/>
    <w:rsid w:val="05976A97"/>
    <w:rsid w:val="059A7C7F"/>
    <w:rsid w:val="059E20E4"/>
    <w:rsid w:val="05AE749A"/>
    <w:rsid w:val="05B87123"/>
    <w:rsid w:val="05BC0BF8"/>
    <w:rsid w:val="05C36005"/>
    <w:rsid w:val="05C67F11"/>
    <w:rsid w:val="05C86C09"/>
    <w:rsid w:val="05D4629F"/>
    <w:rsid w:val="05DB67C3"/>
    <w:rsid w:val="05DF20B2"/>
    <w:rsid w:val="05E57CE3"/>
    <w:rsid w:val="05E83FCF"/>
    <w:rsid w:val="05F86AB1"/>
    <w:rsid w:val="06011B9F"/>
    <w:rsid w:val="06081557"/>
    <w:rsid w:val="060D65DD"/>
    <w:rsid w:val="0613713B"/>
    <w:rsid w:val="06145C04"/>
    <w:rsid w:val="06155A5F"/>
    <w:rsid w:val="061C60C0"/>
    <w:rsid w:val="06211F2F"/>
    <w:rsid w:val="062A342B"/>
    <w:rsid w:val="062B4867"/>
    <w:rsid w:val="06354E4D"/>
    <w:rsid w:val="06362AC0"/>
    <w:rsid w:val="06443FD4"/>
    <w:rsid w:val="064B1597"/>
    <w:rsid w:val="064D7AD0"/>
    <w:rsid w:val="06502125"/>
    <w:rsid w:val="06515302"/>
    <w:rsid w:val="06526B6D"/>
    <w:rsid w:val="06557C32"/>
    <w:rsid w:val="065C31A2"/>
    <w:rsid w:val="06721621"/>
    <w:rsid w:val="067A4C62"/>
    <w:rsid w:val="068A254B"/>
    <w:rsid w:val="068B7FCC"/>
    <w:rsid w:val="068E3125"/>
    <w:rsid w:val="068F0D98"/>
    <w:rsid w:val="0695725A"/>
    <w:rsid w:val="06971023"/>
    <w:rsid w:val="06991A03"/>
    <w:rsid w:val="06A046EE"/>
    <w:rsid w:val="06A23A0E"/>
    <w:rsid w:val="06A679EB"/>
    <w:rsid w:val="06A70509"/>
    <w:rsid w:val="06B04988"/>
    <w:rsid w:val="06B736DC"/>
    <w:rsid w:val="06BB4388"/>
    <w:rsid w:val="06DC324E"/>
    <w:rsid w:val="06DF1C54"/>
    <w:rsid w:val="06E754C9"/>
    <w:rsid w:val="06EF7CF0"/>
    <w:rsid w:val="06F90600"/>
    <w:rsid w:val="06FE3560"/>
    <w:rsid w:val="07050D55"/>
    <w:rsid w:val="07073FA3"/>
    <w:rsid w:val="0710251F"/>
    <w:rsid w:val="071F4761"/>
    <w:rsid w:val="07204C3C"/>
    <w:rsid w:val="072510C4"/>
    <w:rsid w:val="0729554C"/>
    <w:rsid w:val="072C1ACB"/>
    <w:rsid w:val="073443DD"/>
    <w:rsid w:val="073A3AC1"/>
    <w:rsid w:val="07413B34"/>
    <w:rsid w:val="074849DB"/>
    <w:rsid w:val="074E6ABF"/>
    <w:rsid w:val="0762514C"/>
    <w:rsid w:val="07653DFD"/>
    <w:rsid w:val="076A2A73"/>
    <w:rsid w:val="076C72C1"/>
    <w:rsid w:val="076D37C8"/>
    <w:rsid w:val="077324C8"/>
    <w:rsid w:val="0774764B"/>
    <w:rsid w:val="077948BA"/>
    <w:rsid w:val="07866F8C"/>
    <w:rsid w:val="078D77EF"/>
    <w:rsid w:val="078E4DC7"/>
    <w:rsid w:val="07965662"/>
    <w:rsid w:val="07980803"/>
    <w:rsid w:val="079A55F6"/>
    <w:rsid w:val="079B2B1B"/>
    <w:rsid w:val="07A02EF1"/>
    <w:rsid w:val="07A278B9"/>
    <w:rsid w:val="07AB74E5"/>
    <w:rsid w:val="07B1502F"/>
    <w:rsid w:val="07B24424"/>
    <w:rsid w:val="07B73B68"/>
    <w:rsid w:val="07C3764D"/>
    <w:rsid w:val="07D76969"/>
    <w:rsid w:val="07ED14E2"/>
    <w:rsid w:val="07F26BD3"/>
    <w:rsid w:val="07F66AC5"/>
    <w:rsid w:val="081221AF"/>
    <w:rsid w:val="0821601A"/>
    <w:rsid w:val="082A6CBF"/>
    <w:rsid w:val="082E740D"/>
    <w:rsid w:val="083024BB"/>
    <w:rsid w:val="0833764C"/>
    <w:rsid w:val="08351845"/>
    <w:rsid w:val="08392892"/>
    <w:rsid w:val="083D7D2C"/>
    <w:rsid w:val="084A59CD"/>
    <w:rsid w:val="084C657D"/>
    <w:rsid w:val="08500BB1"/>
    <w:rsid w:val="085F3623"/>
    <w:rsid w:val="08644F2A"/>
    <w:rsid w:val="086F26FA"/>
    <w:rsid w:val="087B6B61"/>
    <w:rsid w:val="087E40F9"/>
    <w:rsid w:val="087F42B0"/>
    <w:rsid w:val="08840F28"/>
    <w:rsid w:val="08885F8D"/>
    <w:rsid w:val="08916AA8"/>
    <w:rsid w:val="08A20A85"/>
    <w:rsid w:val="08AC5408"/>
    <w:rsid w:val="08AF00C1"/>
    <w:rsid w:val="08AF2DF2"/>
    <w:rsid w:val="08B531C0"/>
    <w:rsid w:val="08C9165A"/>
    <w:rsid w:val="08CA3116"/>
    <w:rsid w:val="08CF192C"/>
    <w:rsid w:val="08D132F7"/>
    <w:rsid w:val="08D53034"/>
    <w:rsid w:val="08DD05E4"/>
    <w:rsid w:val="08E215E6"/>
    <w:rsid w:val="08FE41CD"/>
    <w:rsid w:val="09033ED8"/>
    <w:rsid w:val="0903652D"/>
    <w:rsid w:val="090515DA"/>
    <w:rsid w:val="09065886"/>
    <w:rsid w:val="091A3AFD"/>
    <w:rsid w:val="091B22FA"/>
    <w:rsid w:val="091D223E"/>
    <w:rsid w:val="092409D1"/>
    <w:rsid w:val="09285C78"/>
    <w:rsid w:val="092D10F9"/>
    <w:rsid w:val="092D5890"/>
    <w:rsid w:val="092F21B1"/>
    <w:rsid w:val="09367BAA"/>
    <w:rsid w:val="09412B25"/>
    <w:rsid w:val="094B42CC"/>
    <w:rsid w:val="094C22BD"/>
    <w:rsid w:val="095274DB"/>
    <w:rsid w:val="09606948"/>
    <w:rsid w:val="0967460E"/>
    <w:rsid w:val="096A6027"/>
    <w:rsid w:val="096A62F6"/>
    <w:rsid w:val="096C2844"/>
    <w:rsid w:val="096E0D4F"/>
    <w:rsid w:val="09706A8B"/>
    <w:rsid w:val="09736AE0"/>
    <w:rsid w:val="097C1436"/>
    <w:rsid w:val="097D67CD"/>
    <w:rsid w:val="09895B60"/>
    <w:rsid w:val="098E0239"/>
    <w:rsid w:val="09A072E5"/>
    <w:rsid w:val="09BB5885"/>
    <w:rsid w:val="09C02873"/>
    <w:rsid w:val="09D83256"/>
    <w:rsid w:val="09DC3926"/>
    <w:rsid w:val="09DF5605"/>
    <w:rsid w:val="09E661A6"/>
    <w:rsid w:val="09ED1368"/>
    <w:rsid w:val="09F45B7D"/>
    <w:rsid w:val="09F54765"/>
    <w:rsid w:val="0A0748F5"/>
    <w:rsid w:val="0A097B85"/>
    <w:rsid w:val="0A0F5AF0"/>
    <w:rsid w:val="0A1015A8"/>
    <w:rsid w:val="0A143BE1"/>
    <w:rsid w:val="0A1517B1"/>
    <w:rsid w:val="0A16051D"/>
    <w:rsid w:val="0A1948AD"/>
    <w:rsid w:val="0A205B76"/>
    <w:rsid w:val="0A286DFB"/>
    <w:rsid w:val="0A2D4B35"/>
    <w:rsid w:val="0A2D649E"/>
    <w:rsid w:val="0A3C040B"/>
    <w:rsid w:val="0A485551"/>
    <w:rsid w:val="0A571A9C"/>
    <w:rsid w:val="0A574B46"/>
    <w:rsid w:val="0A597F3C"/>
    <w:rsid w:val="0A657C85"/>
    <w:rsid w:val="0A705454"/>
    <w:rsid w:val="0A7161D0"/>
    <w:rsid w:val="0A7564CF"/>
    <w:rsid w:val="0A7B21D8"/>
    <w:rsid w:val="0A81257F"/>
    <w:rsid w:val="0A8F10E0"/>
    <w:rsid w:val="0A912F22"/>
    <w:rsid w:val="0A9A2CF5"/>
    <w:rsid w:val="0AA068F7"/>
    <w:rsid w:val="0AB93691"/>
    <w:rsid w:val="0ABC02E8"/>
    <w:rsid w:val="0AC16484"/>
    <w:rsid w:val="0AC50413"/>
    <w:rsid w:val="0ADF69DB"/>
    <w:rsid w:val="0AE31CED"/>
    <w:rsid w:val="0AE71C0C"/>
    <w:rsid w:val="0AED0BB9"/>
    <w:rsid w:val="0AEF1DE4"/>
    <w:rsid w:val="0AEF2654"/>
    <w:rsid w:val="0AF22EF3"/>
    <w:rsid w:val="0AFE26A1"/>
    <w:rsid w:val="0B0179A3"/>
    <w:rsid w:val="0B125E37"/>
    <w:rsid w:val="0B1340BF"/>
    <w:rsid w:val="0B1746FD"/>
    <w:rsid w:val="0B175B42"/>
    <w:rsid w:val="0B1A430B"/>
    <w:rsid w:val="0B1C7B0D"/>
    <w:rsid w:val="0B2756B1"/>
    <w:rsid w:val="0B39774D"/>
    <w:rsid w:val="0B3A1A92"/>
    <w:rsid w:val="0B3F6621"/>
    <w:rsid w:val="0B431BB4"/>
    <w:rsid w:val="0B493D92"/>
    <w:rsid w:val="0B4B06EA"/>
    <w:rsid w:val="0B532A29"/>
    <w:rsid w:val="0B5E0983"/>
    <w:rsid w:val="0B627458"/>
    <w:rsid w:val="0B6A4840"/>
    <w:rsid w:val="0B707256"/>
    <w:rsid w:val="0B7129F9"/>
    <w:rsid w:val="0B744B6D"/>
    <w:rsid w:val="0B776456"/>
    <w:rsid w:val="0B7D32E8"/>
    <w:rsid w:val="0B7E60C9"/>
    <w:rsid w:val="0B85192E"/>
    <w:rsid w:val="0B8528F2"/>
    <w:rsid w:val="0B903738"/>
    <w:rsid w:val="0BA150A4"/>
    <w:rsid w:val="0BAA1C4A"/>
    <w:rsid w:val="0BB00343"/>
    <w:rsid w:val="0BB66944"/>
    <w:rsid w:val="0BBA15A6"/>
    <w:rsid w:val="0BBE1519"/>
    <w:rsid w:val="0BC14CD6"/>
    <w:rsid w:val="0BC25C28"/>
    <w:rsid w:val="0BC455A2"/>
    <w:rsid w:val="0BC656E9"/>
    <w:rsid w:val="0BDB585C"/>
    <w:rsid w:val="0BDE0819"/>
    <w:rsid w:val="0BE15BA9"/>
    <w:rsid w:val="0BEC7F79"/>
    <w:rsid w:val="0BEF4F2C"/>
    <w:rsid w:val="0BF25CBF"/>
    <w:rsid w:val="0BF56721"/>
    <w:rsid w:val="0BF640B4"/>
    <w:rsid w:val="0C013B43"/>
    <w:rsid w:val="0C023496"/>
    <w:rsid w:val="0C094BA0"/>
    <w:rsid w:val="0C0D38CF"/>
    <w:rsid w:val="0C1E2E71"/>
    <w:rsid w:val="0C5146FF"/>
    <w:rsid w:val="0C516722"/>
    <w:rsid w:val="0C527341"/>
    <w:rsid w:val="0C595337"/>
    <w:rsid w:val="0C5A77D4"/>
    <w:rsid w:val="0C6A2F22"/>
    <w:rsid w:val="0C6F714B"/>
    <w:rsid w:val="0C7B5426"/>
    <w:rsid w:val="0C7B7987"/>
    <w:rsid w:val="0C8F0D48"/>
    <w:rsid w:val="0C9308B1"/>
    <w:rsid w:val="0C9703DB"/>
    <w:rsid w:val="0C9D6E83"/>
    <w:rsid w:val="0CB314C2"/>
    <w:rsid w:val="0CBB32A6"/>
    <w:rsid w:val="0CCB0A0B"/>
    <w:rsid w:val="0CCF2CA1"/>
    <w:rsid w:val="0CD54464"/>
    <w:rsid w:val="0CD957A2"/>
    <w:rsid w:val="0CE20630"/>
    <w:rsid w:val="0CE36712"/>
    <w:rsid w:val="0CE515B5"/>
    <w:rsid w:val="0CE745A7"/>
    <w:rsid w:val="0CEC69C1"/>
    <w:rsid w:val="0CFB4D4F"/>
    <w:rsid w:val="0D080ED1"/>
    <w:rsid w:val="0D082A6E"/>
    <w:rsid w:val="0D1129FD"/>
    <w:rsid w:val="0D12189D"/>
    <w:rsid w:val="0D154302"/>
    <w:rsid w:val="0D161D84"/>
    <w:rsid w:val="0D1C170F"/>
    <w:rsid w:val="0D285D5A"/>
    <w:rsid w:val="0D337107"/>
    <w:rsid w:val="0D3A5239"/>
    <w:rsid w:val="0D3A7039"/>
    <w:rsid w:val="0D3F0077"/>
    <w:rsid w:val="0D426B6A"/>
    <w:rsid w:val="0D4356A8"/>
    <w:rsid w:val="0D4A4AC2"/>
    <w:rsid w:val="0D4E31B0"/>
    <w:rsid w:val="0D5300B7"/>
    <w:rsid w:val="0D5450EC"/>
    <w:rsid w:val="0D5A67F8"/>
    <w:rsid w:val="0D6B7A3F"/>
    <w:rsid w:val="0D6F7ED0"/>
    <w:rsid w:val="0D7049A0"/>
    <w:rsid w:val="0D71056B"/>
    <w:rsid w:val="0D732002"/>
    <w:rsid w:val="0D7C618B"/>
    <w:rsid w:val="0D7F3B30"/>
    <w:rsid w:val="0D883FB7"/>
    <w:rsid w:val="0D8972A3"/>
    <w:rsid w:val="0D901ED6"/>
    <w:rsid w:val="0D977DFF"/>
    <w:rsid w:val="0D980C13"/>
    <w:rsid w:val="0DAA2C4D"/>
    <w:rsid w:val="0DAE6A7F"/>
    <w:rsid w:val="0DB5623E"/>
    <w:rsid w:val="0DB607B8"/>
    <w:rsid w:val="0DB90694"/>
    <w:rsid w:val="0DC06AAA"/>
    <w:rsid w:val="0DC22600"/>
    <w:rsid w:val="0DC51AC4"/>
    <w:rsid w:val="0DC63EF2"/>
    <w:rsid w:val="0DCC18B3"/>
    <w:rsid w:val="0DCF3F72"/>
    <w:rsid w:val="0DD418F5"/>
    <w:rsid w:val="0DE75511"/>
    <w:rsid w:val="0DF93011"/>
    <w:rsid w:val="0DF94BB1"/>
    <w:rsid w:val="0DFF4B13"/>
    <w:rsid w:val="0E010A88"/>
    <w:rsid w:val="0E0B1E1B"/>
    <w:rsid w:val="0E165F14"/>
    <w:rsid w:val="0E1A683B"/>
    <w:rsid w:val="0E216504"/>
    <w:rsid w:val="0E24538F"/>
    <w:rsid w:val="0E307276"/>
    <w:rsid w:val="0E3B63F4"/>
    <w:rsid w:val="0E402695"/>
    <w:rsid w:val="0E472AF3"/>
    <w:rsid w:val="0E48406C"/>
    <w:rsid w:val="0E4B437F"/>
    <w:rsid w:val="0E5B110A"/>
    <w:rsid w:val="0E5F2667"/>
    <w:rsid w:val="0E6B4543"/>
    <w:rsid w:val="0E6D29BA"/>
    <w:rsid w:val="0E6E4656"/>
    <w:rsid w:val="0E777792"/>
    <w:rsid w:val="0E780BE4"/>
    <w:rsid w:val="0E7B1FCA"/>
    <w:rsid w:val="0E854EC1"/>
    <w:rsid w:val="0E880E39"/>
    <w:rsid w:val="0E8E29F6"/>
    <w:rsid w:val="0E970598"/>
    <w:rsid w:val="0E98696F"/>
    <w:rsid w:val="0E9B0C86"/>
    <w:rsid w:val="0E9D025B"/>
    <w:rsid w:val="0EDE6779"/>
    <w:rsid w:val="0EEB0236"/>
    <w:rsid w:val="0EEB0485"/>
    <w:rsid w:val="0EF03F8C"/>
    <w:rsid w:val="0EF97174"/>
    <w:rsid w:val="0EFA542E"/>
    <w:rsid w:val="0EFE2E1E"/>
    <w:rsid w:val="0F041887"/>
    <w:rsid w:val="0F063240"/>
    <w:rsid w:val="0F095A37"/>
    <w:rsid w:val="0F095B2A"/>
    <w:rsid w:val="0F2550AA"/>
    <w:rsid w:val="0F2B7270"/>
    <w:rsid w:val="0F334BD0"/>
    <w:rsid w:val="0F3A116B"/>
    <w:rsid w:val="0F4D0AAA"/>
    <w:rsid w:val="0F5074B0"/>
    <w:rsid w:val="0F511411"/>
    <w:rsid w:val="0F522EAA"/>
    <w:rsid w:val="0F571B8B"/>
    <w:rsid w:val="0F5F0E0D"/>
    <w:rsid w:val="0F64663A"/>
    <w:rsid w:val="0F6F1ED4"/>
    <w:rsid w:val="0F732F04"/>
    <w:rsid w:val="0F785F10"/>
    <w:rsid w:val="0F7C7F74"/>
    <w:rsid w:val="0F7F2D55"/>
    <w:rsid w:val="0F80004E"/>
    <w:rsid w:val="0F871EAB"/>
    <w:rsid w:val="0F8C6010"/>
    <w:rsid w:val="0F981DE1"/>
    <w:rsid w:val="0F9A6AD0"/>
    <w:rsid w:val="0FAA30DE"/>
    <w:rsid w:val="0FAB1E11"/>
    <w:rsid w:val="0FAB42D9"/>
    <w:rsid w:val="0FB04F4B"/>
    <w:rsid w:val="0FB514C8"/>
    <w:rsid w:val="0FB726D8"/>
    <w:rsid w:val="0FB74F98"/>
    <w:rsid w:val="0FB97DD9"/>
    <w:rsid w:val="0FBB0301"/>
    <w:rsid w:val="0FBC45E1"/>
    <w:rsid w:val="0FC6735B"/>
    <w:rsid w:val="0FC7541F"/>
    <w:rsid w:val="0FD34206"/>
    <w:rsid w:val="0FDC101C"/>
    <w:rsid w:val="0FDF5A14"/>
    <w:rsid w:val="0FE30AAD"/>
    <w:rsid w:val="0FE40941"/>
    <w:rsid w:val="0FE75097"/>
    <w:rsid w:val="0FEB0897"/>
    <w:rsid w:val="0FEB1C2B"/>
    <w:rsid w:val="0FEF6124"/>
    <w:rsid w:val="0FF17967"/>
    <w:rsid w:val="0FF2435C"/>
    <w:rsid w:val="10013A51"/>
    <w:rsid w:val="1005751D"/>
    <w:rsid w:val="1008703A"/>
    <w:rsid w:val="100959DA"/>
    <w:rsid w:val="1014447B"/>
    <w:rsid w:val="10156752"/>
    <w:rsid w:val="10206884"/>
    <w:rsid w:val="102E7D98"/>
    <w:rsid w:val="10303D98"/>
    <w:rsid w:val="10322021"/>
    <w:rsid w:val="103809FF"/>
    <w:rsid w:val="10382989"/>
    <w:rsid w:val="103A57C3"/>
    <w:rsid w:val="103C1F27"/>
    <w:rsid w:val="10403535"/>
    <w:rsid w:val="10711344"/>
    <w:rsid w:val="10711EC5"/>
    <w:rsid w:val="10776E78"/>
    <w:rsid w:val="10792E27"/>
    <w:rsid w:val="10807BA2"/>
    <w:rsid w:val="108128D2"/>
    <w:rsid w:val="10831484"/>
    <w:rsid w:val="108E3427"/>
    <w:rsid w:val="108E3F20"/>
    <w:rsid w:val="1096068D"/>
    <w:rsid w:val="10AA21DC"/>
    <w:rsid w:val="10B26094"/>
    <w:rsid w:val="10B951CF"/>
    <w:rsid w:val="10BB3068"/>
    <w:rsid w:val="10CA7D60"/>
    <w:rsid w:val="10CD2EA4"/>
    <w:rsid w:val="10D82C05"/>
    <w:rsid w:val="10DE14CA"/>
    <w:rsid w:val="10F86567"/>
    <w:rsid w:val="10FE598E"/>
    <w:rsid w:val="11010104"/>
    <w:rsid w:val="11050569"/>
    <w:rsid w:val="110E3EB6"/>
    <w:rsid w:val="11125034"/>
    <w:rsid w:val="111D2A63"/>
    <w:rsid w:val="111F0F35"/>
    <w:rsid w:val="112428AE"/>
    <w:rsid w:val="112660DA"/>
    <w:rsid w:val="113A6E67"/>
    <w:rsid w:val="114D01EF"/>
    <w:rsid w:val="11554042"/>
    <w:rsid w:val="11597580"/>
    <w:rsid w:val="11617971"/>
    <w:rsid w:val="11622F64"/>
    <w:rsid w:val="116F4939"/>
    <w:rsid w:val="117233EF"/>
    <w:rsid w:val="11771034"/>
    <w:rsid w:val="117A7A1E"/>
    <w:rsid w:val="117C738D"/>
    <w:rsid w:val="11846297"/>
    <w:rsid w:val="118B5BFE"/>
    <w:rsid w:val="11911FF2"/>
    <w:rsid w:val="11A3314B"/>
    <w:rsid w:val="11A9324E"/>
    <w:rsid w:val="11AD4D58"/>
    <w:rsid w:val="11D2140C"/>
    <w:rsid w:val="11D47CFF"/>
    <w:rsid w:val="11E004B2"/>
    <w:rsid w:val="11E85863"/>
    <w:rsid w:val="11EE75FC"/>
    <w:rsid w:val="11EF79F9"/>
    <w:rsid w:val="11F121BE"/>
    <w:rsid w:val="11FF2B96"/>
    <w:rsid w:val="120B59B6"/>
    <w:rsid w:val="1212080A"/>
    <w:rsid w:val="12132537"/>
    <w:rsid w:val="121500F9"/>
    <w:rsid w:val="121A716F"/>
    <w:rsid w:val="122E49BE"/>
    <w:rsid w:val="122F69BB"/>
    <w:rsid w:val="12370328"/>
    <w:rsid w:val="123A7554"/>
    <w:rsid w:val="123B7E78"/>
    <w:rsid w:val="12403B60"/>
    <w:rsid w:val="12411D81"/>
    <w:rsid w:val="124546E8"/>
    <w:rsid w:val="12460407"/>
    <w:rsid w:val="12543FAB"/>
    <w:rsid w:val="1254771D"/>
    <w:rsid w:val="12645B84"/>
    <w:rsid w:val="126822BC"/>
    <w:rsid w:val="12697AE4"/>
    <w:rsid w:val="126C0B6C"/>
    <w:rsid w:val="126C33D5"/>
    <w:rsid w:val="127C66E3"/>
    <w:rsid w:val="128C24E3"/>
    <w:rsid w:val="129E41E5"/>
    <w:rsid w:val="12A642F0"/>
    <w:rsid w:val="12A87358"/>
    <w:rsid w:val="12B442BF"/>
    <w:rsid w:val="12BF607C"/>
    <w:rsid w:val="12C003F7"/>
    <w:rsid w:val="12C25F55"/>
    <w:rsid w:val="12E23C94"/>
    <w:rsid w:val="12EF0C20"/>
    <w:rsid w:val="12F973B8"/>
    <w:rsid w:val="130B42F3"/>
    <w:rsid w:val="130D1A6F"/>
    <w:rsid w:val="131B4F68"/>
    <w:rsid w:val="131F396E"/>
    <w:rsid w:val="13394F2B"/>
    <w:rsid w:val="133A2F04"/>
    <w:rsid w:val="133D568F"/>
    <w:rsid w:val="134E6A3B"/>
    <w:rsid w:val="135A4CBD"/>
    <w:rsid w:val="135D13A8"/>
    <w:rsid w:val="136404F3"/>
    <w:rsid w:val="13642DDD"/>
    <w:rsid w:val="137532F9"/>
    <w:rsid w:val="1376437D"/>
    <w:rsid w:val="13976C19"/>
    <w:rsid w:val="139C5F00"/>
    <w:rsid w:val="13AA7707"/>
    <w:rsid w:val="13AF06CE"/>
    <w:rsid w:val="13B12973"/>
    <w:rsid w:val="13B61E8E"/>
    <w:rsid w:val="13BB37EC"/>
    <w:rsid w:val="13C06F2A"/>
    <w:rsid w:val="13C23A1B"/>
    <w:rsid w:val="13C83749"/>
    <w:rsid w:val="13CA7D34"/>
    <w:rsid w:val="13CC1508"/>
    <w:rsid w:val="13CF4DB5"/>
    <w:rsid w:val="13D07F0E"/>
    <w:rsid w:val="13EB1DD0"/>
    <w:rsid w:val="13F240D0"/>
    <w:rsid w:val="13F6014E"/>
    <w:rsid w:val="13F77DCA"/>
    <w:rsid w:val="14147ABD"/>
    <w:rsid w:val="14175E0A"/>
    <w:rsid w:val="141A74A2"/>
    <w:rsid w:val="141F1BA5"/>
    <w:rsid w:val="14200B1E"/>
    <w:rsid w:val="142A2204"/>
    <w:rsid w:val="143534B6"/>
    <w:rsid w:val="1439779F"/>
    <w:rsid w:val="143A1B3C"/>
    <w:rsid w:val="14413B7B"/>
    <w:rsid w:val="14557889"/>
    <w:rsid w:val="14607E82"/>
    <w:rsid w:val="14650E4D"/>
    <w:rsid w:val="14664A8C"/>
    <w:rsid w:val="147677A3"/>
    <w:rsid w:val="149E7662"/>
    <w:rsid w:val="149F165C"/>
    <w:rsid w:val="14A12BD5"/>
    <w:rsid w:val="14A8037D"/>
    <w:rsid w:val="14AB30F5"/>
    <w:rsid w:val="14AC25B0"/>
    <w:rsid w:val="14AE0BED"/>
    <w:rsid w:val="14AF303C"/>
    <w:rsid w:val="14B8020C"/>
    <w:rsid w:val="14B92FA3"/>
    <w:rsid w:val="14CA7E3D"/>
    <w:rsid w:val="14D74176"/>
    <w:rsid w:val="14E56701"/>
    <w:rsid w:val="14E66CE8"/>
    <w:rsid w:val="14E867DD"/>
    <w:rsid w:val="14F16247"/>
    <w:rsid w:val="14F26FD0"/>
    <w:rsid w:val="14F8750F"/>
    <w:rsid w:val="14FE0980"/>
    <w:rsid w:val="150A66AF"/>
    <w:rsid w:val="15111B9F"/>
    <w:rsid w:val="15142B24"/>
    <w:rsid w:val="151A305F"/>
    <w:rsid w:val="151B24AF"/>
    <w:rsid w:val="151B561A"/>
    <w:rsid w:val="152312F8"/>
    <w:rsid w:val="15245032"/>
    <w:rsid w:val="153161EE"/>
    <w:rsid w:val="15327543"/>
    <w:rsid w:val="153335B7"/>
    <w:rsid w:val="15383FDD"/>
    <w:rsid w:val="15487222"/>
    <w:rsid w:val="15491CF9"/>
    <w:rsid w:val="154A0757"/>
    <w:rsid w:val="15510AA2"/>
    <w:rsid w:val="15514E0B"/>
    <w:rsid w:val="155C4C28"/>
    <w:rsid w:val="156508EF"/>
    <w:rsid w:val="15664159"/>
    <w:rsid w:val="1571763A"/>
    <w:rsid w:val="157177C3"/>
    <w:rsid w:val="1581047E"/>
    <w:rsid w:val="15885061"/>
    <w:rsid w:val="15892AE3"/>
    <w:rsid w:val="15894CE1"/>
    <w:rsid w:val="15902EBC"/>
    <w:rsid w:val="159D1783"/>
    <w:rsid w:val="159E5E55"/>
    <w:rsid w:val="15B21729"/>
    <w:rsid w:val="15BB45B7"/>
    <w:rsid w:val="15BE56E0"/>
    <w:rsid w:val="15C12432"/>
    <w:rsid w:val="15C373EE"/>
    <w:rsid w:val="15C84147"/>
    <w:rsid w:val="15D10555"/>
    <w:rsid w:val="15D5735F"/>
    <w:rsid w:val="15DA50AA"/>
    <w:rsid w:val="15DE21ED"/>
    <w:rsid w:val="15E56686"/>
    <w:rsid w:val="15ED6F84"/>
    <w:rsid w:val="15F356DA"/>
    <w:rsid w:val="15F52D5D"/>
    <w:rsid w:val="15FC08F6"/>
    <w:rsid w:val="160A3089"/>
    <w:rsid w:val="161426C7"/>
    <w:rsid w:val="161531A0"/>
    <w:rsid w:val="16155F4A"/>
    <w:rsid w:val="161D5555"/>
    <w:rsid w:val="162B4B14"/>
    <w:rsid w:val="16383A2C"/>
    <w:rsid w:val="1646133C"/>
    <w:rsid w:val="16476D88"/>
    <w:rsid w:val="164A731D"/>
    <w:rsid w:val="16520962"/>
    <w:rsid w:val="165669B3"/>
    <w:rsid w:val="16572710"/>
    <w:rsid w:val="165E1841"/>
    <w:rsid w:val="165F684F"/>
    <w:rsid w:val="1679226B"/>
    <w:rsid w:val="167F1D76"/>
    <w:rsid w:val="16864F84"/>
    <w:rsid w:val="168F0C53"/>
    <w:rsid w:val="16B30AB9"/>
    <w:rsid w:val="16B81ED7"/>
    <w:rsid w:val="16CD78F7"/>
    <w:rsid w:val="16DC0535"/>
    <w:rsid w:val="16F220B5"/>
    <w:rsid w:val="16FD4348"/>
    <w:rsid w:val="17044DC6"/>
    <w:rsid w:val="17052970"/>
    <w:rsid w:val="1706177D"/>
    <w:rsid w:val="170716B6"/>
    <w:rsid w:val="17114CF5"/>
    <w:rsid w:val="171E60D2"/>
    <w:rsid w:val="1729478D"/>
    <w:rsid w:val="172C5713"/>
    <w:rsid w:val="172D7D4A"/>
    <w:rsid w:val="173B3165"/>
    <w:rsid w:val="173B4C7A"/>
    <w:rsid w:val="1742220D"/>
    <w:rsid w:val="174531B1"/>
    <w:rsid w:val="1748083E"/>
    <w:rsid w:val="17513CD6"/>
    <w:rsid w:val="17531A9E"/>
    <w:rsid w:val="17553F9F"/>
    <w:rsid w:val="175623CE"/>
    <w:rsid w:val="175A1284"/>
    <w:rsid w:val="175A506F"/>
    <w:rsid w:val="175C6002"/>
    <w:rsid w:val="17753588"/>
    <w:rsid w:val="179923F6"/>
    <w:rsid w:val="179A7845"/>
    <w:rsid w:val="17A4738F"/>
    <w:rsid w:val="17AB6A69"/>
    <w:rsid w:val="17AC2735"/>
    <w:rsid w:val="17BE127A"/>
    <w:rsid w:val="17BE35A0"/>
    <w:rsid w:val="17BF481E"/>
    <w:rsid w:val="17C00184"/>
    <w:rsid w:val="17D0041E"/>
    <w:rsid w:val="17D01F3A"/>
    <w:rsid w:val="17DA0D2E"/>
    <w:rsid w:val="17DB67AF"/>
    <w:rsid w:val="17DC7DAF"/>
    <w:rsid w:val="17DE12A6"/>
    <w:rsid w:val="17EE2695"/>
    <w:rsid w:val="17FC11D2"/>
    <w:rsid w:val="180C6085"/>
    <w:rsid w:val="180E4FC5"/>
    <w:rsid w:val="18171331"/>
    <w:rsid w:val="18232427"/>
    <w:rsid w:val="18334857"/>
    <w:rsid w:val="183C13E7"/>
    <w:rsid w:val="185309F7"/>
    <w:rsid w:val="185773FE"/>
    <w:rsid w:val="185A170F"/>
    <w:rsid w:val="185A42FA"/>
    <w:rsid w:val="18640158"/>
    <w:rsid w:val="186715DB"/>
    <w:rsid w:val="18717FA7"/>
    <w:rsid w:val="18724457"/>
    <w:rsid w:val="18812545"/>
    <w:rsid w:val="18884F97"/>
    <w:rsid w:val="188B1AF8"/>
    <w:rsid w:val="189210B9"/>
    <w:rsid w:val="18AB0F22"/>
    <w:rsid w:val="18AB34CA"/>
    <w:rsid w:val="18AE2DF4"/>
    <w:rsid w:val="18B45E56"/>
    <w:rsid w:val="18BF7518"/>
    <w:rsid w:val="18C11360"/>
    <w:rsid w:val="18CA6F1F"/>
    <w:rsid w:val="18D4432A"/>
    <w:rsid w:val="18D57338"/>
    <w:rsid w:val="18DD4A6A"/>
    <w:rsid w:val="18E96032"/>
    <w:rsid w:val="18EE62E8"/>
    <w:rsid w:val="18F83DA1"/>
    <w:rsid w:val="18F96461"/>
    <w:rsid w:val="190D36A9"/>
    <w:rsid w:val="190E4562"/>
    <w:rsid w:val="1911682C"/>
    <w:rsid w:val="19116F8E"/>
    <w:rsid w:val="19193C38"/>
    <w:rsid w:val="191A79E3"/>
    <w:rsid w:val="1931749F"/>
    <w:rsid w:val="1946731D"/>
    <w:rsid w:val="19551A74"/>
    <w:rsid w:val="195D0EAA"/>
    <w:rsid w:val="195F7D63"/>
    <w:rsid w:val="19602136"/>
    <w:rsid w:val="196562B6"/>
    <w:rsid w:val="196D1144"/>
    <w:rsid w:val="197B113B"/>
    <w:rsid w:val="197C2433"/>
    <w:rsid w:val="197E60E2"/>
    <w:rsid w:val="198C3C34"/>
    <w:rsid w:val="198C40F4"/>
    <w:rsid w:val="198E7F87"/>
    <w:rsid w:val="19933139"/>
    <w:rsid w:val="199D5D64"/>
    <w:rsid w:val="19A07C8C"/>
    <w:rsid w:val="19A3296E"/>
    <w:rsid w:val="19A52923"/>
    <w:rsid w:val="19B416DA"/>
    <w:rsid w:val="19B43C3E"/>
    <w:rsid w:val="19B71A83"/>
    <w:rsid w:val="19B8430F"/>
    <w:rsid w:val="19BD21C8"/>
    <w:rsid w:val="19C340D1"/>
    <w:rsid w:val="19D57461"/>
    <w:rsid w:val="19D95A28"/>
    <w:rsid w:val="19EE7D0B"/>
    <w:rsid w:val="19F73C27"/>
    <w:rsid w:val="1A0F4551"/>
    <w:rsid w:val="1A1041D0"/>
    <w:rsid w:val="1A122DCD"/>
    <w:rsid w:val="1A204069"/>
    <w:rsid w:val="1A247F20"/>
    <w:rsid w:val="1A264176"/>
    <w:rsid w:val="1A273DF6"/>
    <w:rsid w:val="1A274FCF"/>
    <w:rsid w:val="1A294CEC"/>
    <w:rsid w:val="1A35310B"/>
    <w:rsid w:val="1A3C6319"/>
    <w:rsid w:val="1A4B282C"/>
    <w:rsid w:val="1A5163D6"/>
    <w:rsid w:val="1A53548B"/>
    <w:rsid w:val="1A54768F"/>
    <w:rsid w:val="1A5A669E"/>
    <w:rsid w:val="1A5B5D2C"/>
    <w:rsid w:val="1A5C0094"/>
    <w:rsid w:val="1A5F33F5"/>
    <w:rsid w:val="1A5F6A15"/>
    <w:rsid w:val="1A601308"/>
    <w:rsid w:val="1A6102E8"/>
    <w:rsid w:val="1A686DB1"/>
    <w:rsid w:val="1A7435E6"/>
    <w:rsid w:val="1A820007"/>
    <w:rsid w:val="1A824DA2"/>
    <w:rsid w:val="1A9B1B20"/>
    <w:rsid w:val="1AA07B01"/>
    <w:rsid w:val="1AA90AD4"/>
    <w:rsid w:val="1AA97C06"/>
    <w:rsid w:val="1ABC4084"/>
    <w:rsid w:val="1AC13737"/>
    <w:rsid w:val="1AC2714F"/>
    <w:rsid w:val="1AC56317"/>
    <w:rsid w:val="1ACD0C28"/>
    <w:rsid w:val="1AD35E2A"/>
    <w:rsid w:val="1AE021B5"/>
    <w:rsid w:val="1AE51E4A"/>
    <w:rsid w:val="1AE97737"/>
    <w:rsid w:val="1AFA72E4"/>
    <w:rsid w:val="1B014DDE"/>
    <w:rsid w:val="1B173498"/>
    <w:rsid w:val="1B1A030D"/>
    <w:rsid w:val="1B1E690C"/>
    <w:rsid w:val="1B257639"/>
    <w:rsid w:val="1B2C7774"/>
    <w:rsid w:val="1B310778"/>
    <w:rsid w:val="1B4B5891"/>
    <w:rsid w:val="1B522068"/>
    <w:rsid w:val="1B5A546C"/>
    <w:rsid w:val="1B5B2EEE"/>
    <w:rsid w:val="1B632EF2"/>
    <w:rsid w:val="1B65470D"/>
    <w:rsid w:val="1B777BC9"/>
    <w:rsid w:val="1B8F643D"/>
    <w:rsid w:val="1B937EAE"/>
    <w:rsid w:val="1B990279"/>
    <w:rsid w:val="1B9921D5"/>
    <w:rsid w:val="1B9B4E1C"/>
    <w:rsid w:val="1B9C50E9"/>
    <w:rsid w:val="1BA210E4"/>
    <w:rsid w:val="1BA2671F"/>
    <w:rsid w:val="1BA70665"/>
    <w:rsid w:val="1BAA5FDD"/>
    <w:rsid w:val="1BAD4429"/>
    <w:rsid w:val="1BAF6B42"/>
    <w:rsid w:val="1BB80557"/>
    <w:rsid w:val="1BBD770F"/>
    <w:rsid w:val="1BC85FDF"/>
    <w:rsid w:val="1BE96189"/>
    <w:rsid w:val="1BEA0511"/>
    <w:rsid w:val="1BF733CF"/>
    <w:rsid w:val="1C026D4F"/>
    <w:rsid w:val="1C067E57"/>
    <w:rsid w:val="1C092426"/>
    <w:rsid w:val="1C0C304C"/>
    <w:rsid w:val="1C152DEE"/>
    <w:rsid w:val="1C163621"/>
    <w:rsid w:val="1C1F2AC3"/>
    <w:rsid w:val="1C2516BD"/>
    <w:rsid w:val="1C294840"/>
    <w:rsid w:val="1C2B00F1"/>
    <w:rsid w:val="1C3E47E5"/>
    <w:rsid w:val="1C451A78"/>
    <w:rsid w:val="1C497D64"/>
    <w:rsid w:val="1C4A6090"/>
    <w:rsid w:val="1C4F4A80"/>
    <w:rsid w:val="1C571226"/>
    <w:rsid w:val="1C591704"/>
    <w:rsid w:val="1C715A23"/>
    <w:rsid w:val="1C720865"/>
    <w:rsid w:val="1C744B38"/>
    <w:rsid w:val="1C7530BF"/>
    <w:rsid w:val="1C791147"/>
    <w:rsid w:val="1C7A7A0F"/>
    <w:rsid w:val="1C7C61A8"/>
    <w:rsid w:val="1C7F5262"/>
    <w:rsid w:val="1C831A57"/>
    <w:rsid w:val="1C903E39"/>
    <w:rsid w:val="1C920C97"/>
    <w:rsid w:val="1C9333CD"/>
    <w:rsid w:val="1C9E689E"/>
    <w:rsid w:val="1CA0566C"/>
    <w:rsid w:val="1CA553E4"/>
    <w:rsid w:val="1CA909C7"/>
    <w:rsid w:val="1CB63AD4"/>
    <w:rsid w:val="1CBE71C2"/>
    <w:rsid w:val="1CC659C3"/>
    <w:rsid w:val="1CC73445"/>
    <w:rsid w:val="1CD4055C"/>
    <w:rsid w:val="1CDE61EE"/>
    <w:rsid w:val="1CEF0D86"/>
    <w:rsid w:val="1CF07FF8"/>
    <w:rsid w:val="1CFC0604"/>
    <w:rsid w:val="1CFD2FCB"/>
    <w:rsid w:val="1CFE5B1D"/>
    <w:rsid w:val="1D004363"/>
    <w:rsid w:val="1D0757E8"/>
    <w:rsid w:val="1D0B195E"/>
    <w:rsid w:val="1D17378C"/>
    <w:rsid w:val="1D2F1E40"/>
    <w:rsid w:val="1D345316"/>
    <w:rsid w:val="1D3570D5"/>
    <w:rsid w:val="1D472A99"/>
    <w:rsid w:val="1D4E0EB2"/>
    <w:rsid w:val="1D4F586D"/>
    <w:rsid w:val="1D561434"/>
    <w:rsid w:val="1D567BA2"/>
    <w:rsid w:val="1D5907B5"/>
    <w:rsid w:val="1D5C7ED6"/>
    <w:rsid w:val="1D640074"/>
    <w:rsid w:val="1D6406F3"/>
    <w:rsid w:val="1D6656B0"/>
    <w:rsid w:val="1D716CE1"/>
    <w:rsid w:val="1D7238DD"/>
    <w:rsid w:val="1D7B63DC"/>
    <w:rsid w:val="1D7E45C6"/>
    <w:rsid w:val="1D853661"/>
    <w:rsid w:val="1D857993"/>
    <w:rsid w:val="1D8D1378"/>
    <w:rsid w:val="1D9155D3"/>
    <w:rsid w:val="1D9B06D2"/>
    <w:rsid w:val="1DB12ECA"/>
    <w:rsid w:val="1DB553DF"/>
    <w:rsid w:val="1DB61EF6"/>
    <w:rsid w:val="1DB72D4D"/>
    <w:rsid w:val="1DBF1882"/>
    <w:rsid w:val="1DCE5148"/>
    <w:rsid w:val="1DD7337D"/>
    <w:rsid w:val="1DEB7D24"/>
    <w:rsid w:val="1E09637C"/>
    <w:rsid w:val="1E0D289C"/>
    <w:rsid w:val="1E0D5CDA"/>
    <w:rsid w:val="1E104C93"/>
    <w:rsid w:val="1E1D0C50"/>
    <w:rsid w:val="1E225C80"/>
    <w:rsid w:val="1E3357BB"/>
    <w:rsid w:val="1E3A2CFB"/>
    <w:rsid w:val="1E3B0145"/>
    <w:rsid w:val="1E445E34"/>
    <w:rsid w:val="1E4719A3"/>
    <w:rsid w:val="1E4A7D3D"/>
    <w:rsid w:val="1E5B4084"/>
    <w:rsid w:val="1E6A2CAB"/>
    <w:rsid w:val="1E773498"/>
    <w:rsid w:val="1E7E0BBD"/>
    <w:rsid w:val="1E7E1CA8"/>
    <w:rsid w:val="1E861706"/>
    <w:rsid w:val="1E8C78AD"/>
    <w:rsid w:val="1E8D1AAC"/>
    <w:rsid w:val="1EA07F4E"/>
    <w:rsid w:val="1EA65561"/>
    <w:rsid w:val="1EAD4127"/>
    <w:rsid w:val="1EB8797A"/>
    <w:rsid w:val="1EBA144C"/>
    <w:rsid w:val="1EBB2651"/>
    <w:rsid w:val="1EBF28EA"/>
    <w:rsid w:val="1ED43684"/>
    <w:rsid w:val="1EDD6BA8"/>
    <w:rsid w:val="1EEC719E"/>
    <w:rsid w:val="1EEE2067"/>
    <w:rsid w:val="1EFF6567"/>
    <w:rsid w:val="1F044236"/>
    <w:rsid w:val="1F0D6182"/>
    <w:rsid w:val="1F14007A"/>
    <w:rsid w:val="1F25251D"/>
    <w:rsid w:val="1F2B4A85"/>
    <w:rsid w:val="1F2B5438"/>
    <w:rsid w:val="1F3B41CE"/>
    <w:rsid w:val="1F3C4CEE"/>
    <w:rsid w:val="1F3E23FF"/>
    <w:rsid w:val="1F4054A4"/>
    <w:rsid w:val="1F4170B1"/>
    <w:rsid w:val="1F4B3986"/>
    <w:rsid w:val="1F535E87"/>
    <w:rsid w:val="1F582479"/>
    <w:rsid w:val="1F585875"/>
    <w:rsid w:val="1F595467"/>
    <w:rsid w:val="1F5A46D7"/>
    <w:rsid w:val="1F5C06A1"/>
    <w:rsid w:val="1F5C37AA"/>
    <w:rsid w:val="1F5C76C5"/>
    <w:rsid w:val="1F614596"/>
    <w:rsid w:val="1F63628C"/>
    <w:rsid w:val="1F6D5805"/>
    <w:rsid w:val="1F6F21BA"/>
    <w:rsid w:val="1F8232BD"/>
    <w:rsid w:val="1F8467C0"/>
    <w:rsid w:val="1F867880"/>
    <w:rsid w:val="1F992472"/>
    <w:rsid w:val="1FB342A6"/>
    <w:rsid w:val="1FB64177"/>
    <w:rsid w:val="1FB7272B"/>
    <w:rsid w:val="1FBB5482"/>
    <w:rsid w:val="1FBC3242"/>
    <w:rsid w:val="1FC367DD"/>
    <w:rsid w:val="1FD32EE0"/>
    <w:rsid w:val="1FD47844"/>
    <w:rsid w:val="1FDB2D6B"/>
    <w:rsid w:val="1FE94946"/>
    <w:rsid w:val="1FE951C5"/>
    <w:rsid w:val="1FED7EA7"/>
    <w:rsid w:val="1FF03FBD"/>
    <w:rsid w:val="1FF546A2"/>
    <w:rsid w:val="1FF70178"/>
    <w:rsid w:val="1FF82C18"/>
    <w:rsid w:val="1FFD6097"/>
    <w:rsid w:val="20001123"/>
    <w:rsid w:val="2005639A"/>
    <w:rsid w:val="200C3221"/>
    <w:rsid w:val="200D64BE"/>
    <w:rsid w:val="2013204D"/>
    <w:rsid w:val="201859C3"/>
    <w:rsid w:val="20200378"/>
    <w:rsid w:val="202D2E3A"/>
    <w:rsid w:val="202D701B"/>
    <w:rsid w:val="202E78C7"/>
    <w:rsid w:val="203332FD"/>
    <w:rsid w:val="20392DEC"/>
    <w:rsid w:val="204050CF"/>
    <w:rsid w:val="20420C8E"/>
    <w:rsid w:val="20485605"/>
    <w:rsid w:val="204A79B5"/>
    <w:rsid w:val="20584BED"/>
    <w:rsid w:val="20587EC6"/>
    <w:rsid w:val="205C5ACF"/>
    <w:rsid w:val="20610BA6"/>
    <w:rsid w:val="207D1E12"/>
    <w:rsid w:val="20804487"/>
    <w:rsid w:val="20862EEB"/>
    <w:rsid w:val="209634ED"/>
    <w:rsid w:val="20970C07"/>
    <w:rsid w:val="20A5211B"/>
    <w:rsid w:val="20BA2E13"/>
    <w:rsid w:val="20C96A1A"/>
    <w:rsid w:val="20D77B1F"/>
    <w:rsid w:val="20D83E44"/>
    <w:rsid w:val="20E64209"/>
    <w:rsid w:val="20E74192"/>
    <w:rsid w:val="20EB0691"/>
    <w:rsid w:val="20EF7097"/>
    <w:rsid w:val="20F37C9C"/>
    <w:rsid w:val="20FC5A18"/>
    <w:rsid w:val="20FF7332"/>
    <w:rsid w:val="21061BA2"/>
    <w:rsid w:val="210A4FEE"/>
    <w:rsid w:val="210E62C7"/>
    <w:rsid w:val="2113274F"/>
    <w:rsid w:val="21171155"/>
    <w:rsid w:val="21175020"/>
    <w:rsid w:val="211D6FFC"/>
    <w:rsid w:val="211E4363"/>
    <w:rsid w:val="21213EE6"/>
    <w:rsid w:val="212469AB"/>
    <w:rsid w:val="212B1C97"/>
    <w:rsid w:val="21361FB5"/>
    <w:rsid w:val="21365666"/>
    <w:rsid w:val="213B5E92"/>
    <w:rsid w:val="21414DE3"/>
    <w:rsid w:val="2146301F"/>
    <w:rsid w:val="214851A7"/>
    <w:rsid w:val="214A489B"/>
    <w:rsid w:val="214B3D89"/>
    <w:rsid w:val="215162CB"/>
    <w:rsid w:val="21575426"/>
    <w:rsid w:val="215B41C8"/>
    <w:rsid w:val="215C1F77"/>
    <w:rsid w:val="2160575A"/>
    <w:rsid w:val="21640811"/>
    <w:rsid w:val="21647A1E"/>
    <w:rsid w:val="21680164"/>
    <w:rsid w:val="216968FB"/>
    <w:rsid w:val="216E5AC0"/>
    <w:rsid w:val="2177769E"/>
    <w:rsid w:val="217B46FD"/>
    <w:rsid w:val="21824F16"/>
    <w:rsid w:val="21837261"/>
    <w:rsid w:val="21864DC1"/>
    <w:rsid w:val="219718E2"/>
    <w:rsid w:val="219D2FC3"/>
    <w:rsid w:val="219F5BB6"/>
    <w:rsid w:val="21AD7FE1"/>
    <w:rsid w:val="21AE3C52"/>
    <w:rsid w:val="21B45B5C"/>
    <w:rsid w:val="21C13C18"/>
    <w:rsid w:val="21D25FF2"/>
    <w:rsid w:val="21D544E9"/>
    <w:rsid w:val="21D72BA7"/>
    <w:rsid w:val="21EC2A0B"/>
    <w:rsid w:val="21F45560"/>
    <w:rsid w:val="21F70210"/>
    <w:rsid w:val="220E3CD9"/>
    <w:rsid w:val="22233C11"/>
    <w:rsid w:val="22252DC4"/>
    <w:rsid w:val="222726E0"/>
    <w:rsid w:val="222766AD"/>
    <w:rsid w:val="222E033D"/>
    <w:rsid w:val="22330628"/>
    <w:rsid w:val="22333EAB"/>
    <w:rsid w:val="22343B5C"/>
    <w:rsid w:val="223C2DAF"/>
    <w:rsid w:val="223E69B9"/>
    <w:rsid w:val="223F7CBE"/>
    <w:rsid w:val="2243226F"/>
    <w:rsid w:val="224B1156"/>
    <w:rsid w:val="224E39C0"/>
    <w:rsid w:val="22646DF0"/>
    <w:rsid w:val="22682C5C"/>
    <w:rsid w:val="22737A48"/>
    <w:rsid w:val="228859B7"/>
    <w:rsid w:val="22923DE9"/>
    <w:rsid w:val="22973417"/>
    <w:rsid w:val="22983888"/>
    <w:rsid w:val="22A11C1B"/>
    <w:rsid w:val="22A90CC0"/>
    <w:rsid w:val="22AC707D"/>
    <w:rsid w:val="22B60F98"/>
    <w:rsid w:val="22B85BE2"/>
    <w:rsid w:val="22BD3C9F"/>
    <w:rsid w:val="22C536C1"/>
    <w:rsid w:val="22C55999"/>
    <w:rsid w:val="22C629AC"/>
    <w:rsid w:val="22D0502F"/>
    <w:rsid w:val="22D32876"/>
    <w:rsid w:val="22DA161D"/>
    <w:rsid w:val="22E74F09"/>
    <w:rsid w:val="22EE6E71"/>
    <w:rsid w:val="22FE1451"/>
    <w:rsid w:val="230A3F92"/>
    <w:rsid w:val="230C2E60"/>
    <w:rsid w:val="230D3451"/>
    <w:rsid w:val="230F02A5"/>
    <w:rsid w:val="23126173"/>
    <w:rsid w:val="23140F9B"/>
    <w:rsid w:val="23177788"/>
    <w:rsid w:val="231F3582"/>
    <w:rsid w:val="2323285A"/>
    <w:rsid w:val="233414D0"/>
    <w:rsid w:val="2337453E"/>
    <w:rsid w:val="2337780D"/>
    <w:rsid w:val="233C3D0F"/>
    <w:rsid w:val="233D2450"/>
    <w:rsid w:val="23451D13"/>
    <w:rsid w:val="234B3276"/>
    <w:rsid w:val="23584D7E"/>
    <w:rsid w:val="23635FB3"/>
    <w:rsid w:val="236E4B2D"/>
    <w:rsid w:val="237052AE"/>
    <w:rsid w:val="23773623"/>
    <w:rsid w:val="2377693D"/>
    <w:rsid w:val="23902DE5"/>
    <w:rsid w:val="239F724D"/>
    <w:rsid w:val="23A322E4"/>
    <w:rsid w:val="23A46C4C"/>
    <w:rsid w:val="23DD6DAF"/>
    <w:rsid w:val="23EF0BE1"/>
    <w:rsid w:val="24032E22"/>
    <w:rsid w:val="24045981"/>
    <w:rsid w:val="240E6C34"/>
    <w:rsid w:val="24117BB9"/>
    <w:rsid w:val="241E14B3"/>
    <w:rsid w:val="241E5373"/>
    <w:rsid w:val="24217E53"/>
    <w:rsid w:val="24290AE3"/>
    <w:rsid w:val="243643CC"/>
    <w:rsid w:val="24391CC6"/>
    <w:rsid w:val="243B5B0F"/>
    <w:rsid w:val="24412F2B"/>
    <w:rsid w:val="24454B90"/>
    <w:rsid w:val="244D0CC5"/>
    <w:rsid w:val="245109A3"/>
    <w:rsid w:val="246A08B9"/>
    <w:rsid w:val="246F37D6"/>
    <w:rsid w:val="247F64CC"/>
    <w:rsid w:val="248D420D"/>
    <w:rsid w:val="248D4E44"/>
    <w:rsid w:val="24921B27"/>
    <w:rsid w:val="24A3234B"/>
    <w:rsid w:val="24A35492"/>
    <w:rsid w:val="24A84ED7"/>
    <w:rsid w:val="24AA521A"/>
    <w:rsid w:val="24B970CD"/>
    <w:rsid w:val="24B97631"/>
    <w:rsid w:val="24C33B21"/>
    <w:rsid w:val="24C90419"/>
    <w:rsid w:val="24DA2E85"/>
    <w:rsid w:val="24DA5E74"/>
    <w:rsid w:val="24DB45B2"/>
    <w:rsid w:val="24DE608A"/>
    <w:rsid w:val="24E04CAF"/>
    <w:rsid w:val="24E22490"/>
    <w:rsid w:val="24E27E31"/>
    <w:rsid w:val="24E41216"/>
    <w:rsid w:val="24E84399"/>
    <w:rsid w:val="24EE0419"/>
    <w:rsid w:val="24EF61D4"/>
    <w:rsid w:val="24F0284D"/>
    <w:rsid w:val="24FF2735"/>
    <w:rsid w:val="24FF332C"/>
    <w:rsid w:val="25090577"/>
    <w:rsid w:val="25097AB7"/>
    <w:rsid w:val="25171665"/>
    <w:rsid w:val="25196323"/>
    <w:rsid w:val="25202C91"/>
    <w:rsid w:val="252331A5"/>
    <w:rsid w:val="25250635"/>
    <w:rsid w:val="252F3F14"/>
    <w:rsid w:val="253256A2"/>
    <w:rsid w:val="25331891"/>
    <w:rsid w:val="2533298B"/>
    <w:rsid w:val="25425A19"/>
    <w:rsid w:val="25494795"/>
    <w:rsid w:val="254A4155"/>
    <w:rsid w:val="254F00B9"/>
    <w:rsid w:val="25546BE3"/>
    <w:rsid w:val="255A7CCB"/>
    <w:rsid w:val="25695674"/>
    <w:rsid w:val="256A7BDF"/>
    <w:rsid w:val="25713FC1"/>
    <w:rsid w:val="25757480"/>
    <w:rsid w:val="25772983"/>
    <w:rsid w:val="257A508C"/>
    <w:rsid w:val="25816B16"/>
    <w:rsid w:val="258B2F2B"/>
    <w:rsid w:val="259F2552"/>
    <w:rsid w:val="25A92259"/>
    <w:rsid w:val="25AB3D1C"/>
    <w:rsid w:val="25B22B68"/>
    <w:rsid w:val="25B27495"/>
    <w:rsid w:val="25BC44AE"/>
    <w:rsid w:val="25D00044"/>
    <w:rsid w:val="25D90A1B"/>
    <w:rsid w:val="25E22192"/>
    <w:rsid w:val="25E361CF"/>
    <w:rsid w:val="25E40DB9"/>
    <w:rsid w:val="25ED50B4"/>
    <w:rsid w:val="25F332FF"/>
    <w:rsid w:val="260B3057"/>
    <w:rsid w:val="260C1ECE"/>
    <w:rsid w:val="260D20C5"/>
    <w:rsid w:val="261324B6"/>
    <w:rsid w:val="26133011"/>
    <w:rsid w:val="261601F3"/>
    <w:rsid w:val="26174636"/>
    <w:rsid w:val="261D2218"/>
    <w:rsid w:val="261E7C99"/>
    <w:rsid w:val="26274BB6"/>
    <w:rsid w:val="26274D25"/>
    <w:rsid w:val="26291087"/>
    <w:rsid w:val="26307BB3"/>
    <w:rsid w:val="26356536"/>
    <w:rsid w:val="264C5E69"/>
    <w:rsid w:val="265D7094"/>
    <w:rsid w:val="266C3D4A"/>
    <w:rsid w:val="267F6685"/>
    <w:rsid w:val="2688208F"/>
    <w:rsid w:val="26886044"/>
    <w:rsid w:val="268B243A"/>
    <w:rsid w:val="26902C26"/>
    <w:rsid w:val="26924042"/>
    <w:rsid w:val="26A80AF7"/>
    <w:rsid w:val="26AA20D3"/>
    <w:rsid w:val="26AE6283"/>
    <w:rsid w:val="26B476D0"/>
    <w:rsid w:val="26C642DC"/>
    <w:rsid w:val="26C80E82"/>
    <w:rsid w:val="26CE67B8"/>
    <w:rsid w:val="26E01FB1"/>
    <w:rsid w:val="26E07FCC"/>
    <w:rsid w:val="26EB1705"/>
    <w:rsid w:val="26F04260"/>
    <w:rsid w:val="26F81EB4"/>
    <w:rsid w:val="26FA2AFF"/>
    <w:rsid w:val="26FB2F1B"/>
    <w:rsid w:val="27083F70"/>
    <w:rsid w:val="272869FF"/>
    <w:rsid w:val="27295BCD"/>
    <w:rsid w:val="27310B9A"/>
    <w:rsid w:val="27342CC6"/>
    <w:rsid w:val="27364EE3"/>
    <w:rsid w:val="27370B52"/>
    <w:rsid w:val="273E1C11"/>
    <w:rsid w:val="275C744F"/>
    <w:rsid w:val="275D2BA4"/>
    <w:rsid w:val="27671C8A"/>
    <w:rsid w:val="27690BB5"/>
    <w:rsid w:val="27784509"/>
    <w:rsid w:val="277C7BD6"/>
    <w:rsid w:val="277F0B5A"/>
    <w:rsid w:val="27815619"/>
    <w:rsid w:val="27873DD8"/>
    <w:rsid w:val="278C6F0B"/>
    <w:rsid w:val="27994F87"/>
    <w:rsid w:val="279D398E"/>
    <w:rsid w:val="279E2679"/>
    <w:rsid w:val="27A942A0"/>
    <w:rsid w:val="27B26AAE"/>
    <w:rsid w:val="27BF689F"/>
    <w:rsid w:val="27C523B1"/>
    <w:rsid w:val="27C87AA5"/>
    <w:rsid w:val="27CD1BEE"/>
    <w:rsid w:val="27CF1BDE"/>
    <w:rsid w:val="27D65541"/>
    <w:rsid w:val="27D842C0"/>
    <w:rsid w:val="27DA216D"/>
    <w:rsid w:val="27E219A9"/>
    <w:rsid w:val="27EC5FCE"/>
    <w:rsid w:val="27ED448C"/>
    <w:rsid w:val="27F07B94"/>
    <w:rsid w:val="27F75900"/>
    <w:rsid w:val="27F84FB1"/>
    <w:rsid w:val="27F9431E"/>
    <w:rsid w:val="28061D38"/>
    <w:rsid w:val="2806426B"/>
    <w:rsid w:val="280855FD"/>
    <w:rsid w:val="280F22C6"/>
    <w:rsid w:val="28103D7D"/>
    <w:rsid w:val="28153BB7"/>
    <w:rsid w:val="281832D7"/>
    <w:rsid w:val="281C3EDC"/>
    <w:rsid w:val="28277CEC"/>
    <w:rsid w:val="28335AC5"/>
    <w:rsid w:val="28362061"/>
    <w:rsid w:val="28396F39"/>
    <w:rsid w:val="283974FD"/>
    <w:rsid w:val="284E60F1"/>
    <w:rsid w:val="284E7F2E"/>
    <w:rsid w:val="28570C4E"/>
    <w:rsid w:val="285E3B65"/>
    <w:rsid w:val="28605161"/>
    <w:rsid w:val="28645955"/>
    <w:rsid w:val="28671C46"/>
    <w:rsid w:val="28762ACB"/>
    <w:rsid w:val="287A467F"/>
    <w:rsid w:val="287F3F80"/>
    <w:rsid w:val="28801E62"/>
    <w:rsid w:val="28894890"/>
    <w:rsid w:val="2897657D"/>
    <w:rsid w:val="289E0FB2"/>
    <w:rsid w:val="289F3D45"/>
    <w:rsid w:val="28A52B3B"/>
    <w:rsid w:val="28AB19F4"/>
    <w:rsid w:val="28C56C0B"/>
    <w:rsid w:val="28CB55F9"/>
    <w:rsid w:val="28CF3BCE"/>
    <w:rsid w:val="28D0276F"/>
    <w:rsid w:val="28D45C09"/>
    <w:rsid w:val="28D71E0B"/>
    <w:rsid w:val="28E0749D"/>
    <w:rsid w:val="28EB7B8B"/>
    <w:rsid w:val="28F045AC"/>
    <w:rsid w:val="28F6769F"/>
    <w:rsid w:val="28F803C7"/>
    <w:rsid w:val="28F90CC0"/>
    <w:rsid w:val="28FB220F"/>
    <w:rsid w:val="28FD2733"/>
    <w:rsid w:val="290B1569"/>
    <w:rsid w:val="29125C0F"/>
    <w:rsid w:val="292B162E"/>
    <w:rsid w:val="293314A5"/>
    <w:rsid w:val="29353AB9"/>
    <w:rsid w:val="2952197F"/>
    <w:rsid w:val="295264D7"/>
    <w:rsid w:val="295D705F"/>
    <w:rsid w:val="296A3B7E"/>
    <w:rsid w:val="29757990"/>
    <w:rsid w:val="29824AA8"/>
    <w:rsid w:val="299754DF"/>
    <w:rsid w:val="2999350D"/>
    <w:rsid w:val="299E7E78"/>
    <w:rsid w:val="29AB18EC"/>
    <w:rsid w:val="29AB26FA"/>
    <w:rsid w:val="29AE4EF6"/>
    <w:rsid w:val="29AF20F4"/>
    <w:rsid w:val="29B661FB"/>
    <w:rsid w:val="29D60A95"/>
    <w:rsid w:val="29D948E3"/>
    <w:rsid w:val="29D94FA1"/>
    <w:rsid w:val="29DB2BB8"/>
    <w:rsid w:val="29E31604"/>
    <w:rsid w:val="29E33FE7"/>
    <w:rsid w:val="29F0075F"/>
    <w:rsid w:val="29F64C07"/>
    <w:rsid w:val="29FC1E44"/>
    <w:rsid w:val="29FF3178"/>
    <w:rsid w:val="2A0720EA"/>
    <w:rsid w:val="2A135A4B"/>
    <w:rsid w:val="2A16531B"/>
    <w:rsid w:val="2A1836DC"/>
    <w:rsid w:val="2A1C3F78"/>
    <w:rsid w:val="2A213AAA"/>
    <w:rsid w:val="2A2739A1"/>
    <w:rsid w:val="2A2D73EC"/>
    <w:rsid w:val="2A3763C9"/>
    <w:rsid w:val="2A3926DC"/>
    <w:rsid w:val="2A3B565F"/>
    <w:rsid w:val="2A402F3D"/>
    <w:rsid w:val="2A445A1D"/>
    <w:rsid w:val="2A48459B"/>
    <w:rsid w:val="2A4D5B2A"/>
    <w:rsid w:val="2A4E7AA5"/>
    <w:rsid w:val="2A687324"/>
    <w:rsid w:val="2A6F0FF3"/>
    <w:rsid w:val="2A7B7321"/>
    <w:rsid w:val="2A801927"/>
    <w:rsid w:val="2A910500"/>
    <w:rsid w:val="2AA369DD"/>
    <w:rsid w:val="2AA66A1B"/>
    <w:rsid w:val="2ABC781A"/>
    <w:rsid w:val="2ABF11E3"/>
    <w:rsid w:val="2AC33E99"/>
    <w:rsid w:val="2AC56E24"/>
    <w:rsid w:val="2AC716F4"/>
    <w:rsid w:val="2AD62388"/>
    <w:rsid w:val="2ADC1861"/>
    <w:rsid w:val="2AE0160E"/>
    <w:rsid w:val="2AEE4FFE"/>
    <w:rsid w:val="2AF1331E"/>
    <w:rsid w:val="2AF62467"/>
    <w:rsid w:val="2AFA7E8C"/>
    <w:rsid w:val="2B0850EC"/>
    <w:rsid w:val="2B0A52E5"/>
    <w:rsid w:val="2B0C0D2B"/>
    <w:rsid w:val="2B0C4DF8"/>
    <w:rsid w:val="2B104D17"/>
    <w:rsid w:val="2B1F68D5"/>
    <w:rsid w:val="2B234681"/>
    <w:rsid w:val="2B3524A1"/>
    <w:rsid w:val="2B3866F7"/>
    <w:rsid w:val="2B3C0339"/>
    <w:rsid w:val="2B3F207C"/>
    <w:rsid w:val="2B4B54EE"/>
    <w:rsid w:val="2B4E3AAD"/>
    <w:rsid w:val="2B560404"/>
    <w:rsid w:val="2B576FD6"/>
    <w:rsid w:val="2B5946AE"/>
    <w:rsid w:val="2B5C5B16"/>
    <w:rsid w:val="2B687D4D"/>
    <w:rsid w:val="2B6F6B01"/>
    <w:rsid w:val="2B821FEF"/>
    <w:rsid w:val="2B846D09"/>
    <w:rsid w:val="2B9970F1"/>
    <w:rsid w:val="2B9B5E5B"/>
    <w:rsid w:val="2BA84912"/>
    <w:rsid w:val="2BC86EE0"/>
    <w:rsid w:val="2BCA1A4F"/>
    <w:rsid w:val="2BCB58E6"/>
    <w:rsid w:val="2BD0613F"/>
    <w:rsid w:val="2BD155F1"/>
    <w:rsid w:val="2BE06D07"/>
    <w:rsid w:val="2BEA6EA1"/>
    <w:rsid w:val="2BEB014F"/>
    <w:rsid w:val="2BF61FAE"/>
    <w:rsid w:val="2C01033F"/>
    <w:rsid w:val="2C010E4B"/>
    <w:rsid w:val="2C01607A"/>
    <w:rsid w:val="2C025DC0"/>
    <w:rsid w:val="2C0A6A50"/>
    <w:rsid w:val="2C0B66D0"/>
    <w:rsid w:val="2C12275E"/>
    <w:rsid w:val="2C1375C2"/>
    <w:rsid w:val="2C1738CF"/>
    <w:rsid w:val="2C3D641F"/>
    <w:rsid w:val="2C3F7E23"/>
    <w:rsid w:val="2C420D71"/>
    <w:rsid w:val="2C4555B0"/>
    <w:rsid w:val="2C4C639A"/>
    <w:rsid w:val="2C6303E3"/>
    <w:rsid w:val="2C665AE5"/>
    <w:rsid w:val="2C7176F9"/>
    <w:rsid w:val="2C7502FD"/>
    <w:rsid w:val="2C795825"/>
    <w:rsid w:val="2C813E77"/>
    <w:rsid w:val="2C873A9B"/>
    <w:rsid w:val="2C9C0C37"/>
    <w:rsid w:val="2C9D01BD"/>
    <w:rsid w:val="2CA21701"/>
    <w:rsid w:val="2CAC199B"/>
    <w:rsid w:val="2CB0034A"/>
    <w:rsid w:val="2CB346AC"/>
    <w:rsid w:val="2CCC3965"/>
    <w:rsid w:val="2CE412D1"/>
    <w:rsid w:val="2CEF21C5"/>
    <w:rsid w:val="2CF93306"/>
    <w:rsid w:val="2CF94F11"/>
    <w:rsid w:val="2D0B7148"/>
    <w:rsid w:val="2D17770B"/>
    <w:rsid w:val="2D185B04"/>
    <w:rsid w:val="2D186441"/>
    <w:rsid w:val="2D2D3785"/>
    <w:rsid w:val="2D335238"/>
    <w:rsid w:val="2D354DCA"/>
    <w:rsid w:val="2D366021"/>
    <w:rsid w:val="2D3D4706"/>
    <w:rsid w:val="2D451726"/>
    <w:rsid w:val="2D4E4841"/>
    <w:rsid w:val="2D5D75EC"/>
    <w:rsid w:val="2D5E3AFE"/>
    <w:rsid w:val="2D6548BB"/>
    <w:rsid w:val="2D6E6943"/>
    <w:rsid w:val="2D731129"/>
    <w:rsid w:val="2D782F73"/>
    <w:rsid w:val="2D841B34"/>
    <w:rsid w:val="2D87143F"/>
    <w:rsid w:val="2D88222F"/>
    <w:rsid w:val="2D8C5833"/>
    <w:rsid w:val="2D9A75CB"/>
    <w:rsid w:val="2DA75F56"/>
    <w:rsid w:val="2DA851F7"/>
    <w:rsid w:val="2DAC4238"/>
    <w:rsid w:val="2DAE5137"/>
    <w:rsid w:val="2DB70319"/>
    <w:rsid w:val="2DBE3B18"/>
    <w:rsid w:val="2DBF580C"/>
    <w:rsid w:val="2DC30C94"/>
    <w:rsid w:val="2DCB1948"/>
    <w:rsid w:val="2DCE2427"/>
    <w:rsid w:val="2DCF3138"/>
    <w:rsid w:val="2DCF37CB"/>
    <w:rsid w:val="2DD5200D"/>
    <w:rsid w:val="2DDB2F86"/>
    <w:rsid w:val="2DE64CDC"/>
    <w:rsid w:val="2DEB1164"/>
    <w:rsid w:val="2DEF20F0"/>
    <w:rsid w:val="2DEF2C60"/>
    <w:rsid w:val="2DFE0184"/>
    <w:rsid w:val="2E086516"/>
    <w:rsid w:val="2E106E4C"/>
    <w:rsid w:val="2E132820"/>
    <w:rsid w:val="2E3A744B"/>
    <w:rsid w:val="2E433D29"/>
    <w:rsid w:val="2E496F7F"/>
    <w:rsid w:val="2E4C211D"/>
    <w:rsid w:val="2E4D7F49"/>
    <w:rsid w:val="2E4E1129"/>
    <w:rsid w:val="2E614260"/>
    <w:rsid w:val="2E6446EB"/>
    <w:rsid w:val="2E713F56"/>
    <w:rsid w:val="2E720516"/>
    <w:rsid w:val="2E735BD0"/>
    <w:rsid w:val="2E7B51CF"/>
    <w:rsid w:val="2E7D2FD4"/>
    <w:rsid w:val="2E7F0E61"/>
    <w:rsid w:val="2E870765"/>
    <w:rsid w:val="2E8A5691"/>
    <w:rsid w:val="2E8D0791"/>
    <w:rsid w:val="2E9570E8"/>
    <w:rsid w:val="2E961DE3"/>
    <w:rsid w:val="2E986CFE"/>
    <w:rsid w:val="2E994780"/>
    <w:rsid w:val="2E9B39A1"/>
    <w:rsid w:val="2EA6454F"/>
    <w:rsid w:val="2EA816FD"/>
    <w:rsid w:val="2EB156AA"/>
    <w:rsid w:val="2EB540F2"/>
    <w:rsid w:val="2EC50E7D"/>
    <w:rsid w:val="2EC839A3"/>
    <w:rsid w:val="2ECD1756"/>
    <w:rsid w:val="2ED1513B"/>
    <w:rsid w:val="2ED376D4"/>
    <w:rsid w:val="2EE22E3A"/>
    <w:rsid w:val="2EED48DD"/>
    <w:rsid w:val="2EFC150C"/>
    <w:rsid w:val="2F047EE8"/>
    <w:rsid w:val="2F085C75"/>
    <w:rsid w:val="2F14718B"/>
    <w:rsid w:val="2F2B12A9"/>
    <w:rsid w:val="2F342223"/>
    <w:rsid w:val="2F355C83"/>
    <w:rsid w:val="2F3E2D0F"/>
    <w:rsid w:val="2F531C77"/>
    <w:rsid w:val="2F575E37"/>
    <w:rsid w:val="2F59133A"/>
    <w:rsid w:val="2F5B483E"/>
    <w:rsid w:val="2F605DBA"/>
    <w:rsid w:val="2F626907"/>
    <w:rsid w:val="2F642F4F"/>
    <w:rsid w:val="2F7377FA"/>
    <w:rsid w:val="2F8128FA"/>
    <w:rsid w:val="2F821380"/>
    <w:rsid w:val="2F861F49"/>
    <w:rsid w:val="2FA76EBB"/>
    <w:rsid w:val="2FAA26B9"/>
    <w:rsid w:val="2FB4105A"/>
    <w:rsid w:val="2FB84BD7"/>
    <w:rsid w:val="2FBB5A39"/>
    <w:rsid w:val="2FBC12EA"/>
    <w:rsid w:val="2FBC6185"/>
    <w:rsid w:val="2FC46678"/>
    <w:rsid w:val="2FC5646B"/>
    <w:rsid w:val="2FC73BC7"/>
    <w:rsid w:val="2FCE519D"/>
    <w:rsid w:val="2FD33F29"/>
    <w:rsid w:val="2FD47C33"/>
    <w:rsid w:val="2FE311E4"/>
    <w:rsid w:val="2FEA34FC"/>
    <w:rsid w:val="2FFB7F42"/>
    <w:rsid w:val="30033D52"/>
    <w:rsid w:val="30043940"/>
    <w:rsid w:val="3004586C"/>
    <w:rsid w:val="30160ACC"/>
    <w:rsid w:val="302D4B96"/>
    <w:rsid w:val="303359D5"/>
    <w:rsid w:val="303A3EAC"/>
    <w:rsid w:val="303C0FC0"/>
    <w:rsid w:val="303E28B2"/>
    <w:rsid w:val="30405042"/>
    <w:rsid w:val="3045081F"/>
    <w:rsid w:val="305E1622"/>
    <w:rsid w:val="306D1FC7"/>
    <w:rsid w:val="30767603"/>
    <w:rsid w:val="307B0CC2"/>
    <w:rsid w:val="307C4780"/>
    <w:rsid w:val="307D27D9"/>
    <w:rsid w:val="30847CCA"/>
    <w:rsid w:val="308F1449"/>
    <w:rsid w:val="30900081"/>
    <w:rsid w:val="30944718"/>
    <w:rsid w:val="3094583F"/>
    <w:rsid w:val="309B5B41"/>
    <w:rsid w:val="30A00F67"/>
    <w:rsid w:val="30A438DB"/>
    <w:rsid w:val="30A654E7"/>
    <w:rsid w:val="30AD41EB"/>
    <w:rsid w:val="30C01078"/>
    <w:rsid w:val="30C26769"/>
    <w:rsid w:val="30C90297"/>
    <w:rsid w:val="30DD197C"/>
    <w:rsid w:val="30DF77E0"/>
    <w:rsid w:val="30E32AF9"/>
    <w:rsid w:val="30EE1718"/>
    <w:rsid w:val="3100697F"/>
    <w:rsid w:val="31014843"/>
    <w:rsid w:val="31083E36"/>
    <w:rsid w:val="310F5189"/>
    <w:rsid w:val="311243C4"/>
    <w:rsid w:val="311D6EC9"/>
    <w:rsid w:val="31217902"/>
    <w:rsid w:val="3127532E"/>
    <w:rsid w:val="312C2F9D"/>
    <w:rsid w:val="312F65BE"/>
    <w:rsid w:val="3133127A"/>
    <w:rsid w:val="31331EC5"/>
    <w:rsid w:val="31353CD7"/>
    <w:rsid w:val="313666CD"/>
    <w:rsid w:val="314957B5"/>
    <w:rsid w:val="31630496"/>
    <w:rsid w:val="31631946"/>
    <w:rsid w:val="31634C13"/>
    <w:rsid w:val="31647E32"/>
    <w:rsid w:val="316E1BC2"/>
    <w:rsid w:val="317662E9"/>
    <w:rsid w:val="3183678A"/>
    <w:rsid w:val="31954796"/>
    <w:rsid w:val="3196746D"/>
    <w:rsid w:val="319F0073"/>
    <w:rsid w:val="31A124F9"/>
    <w:rsid w:val="31B12793"/>
    <w:rsid w:val="31B373CF"/>
    <w:rsid w:val="31B72487"/>
    <w:rsid w:val="31B9498A"/>
    <w:rsid w:val="31C80B92"/>
    <w:rsid w:val="31CA5D22"/>
    <w:rsid w:val="31CA6C1C"/>
    <w:rsid w:val="31CD20C4"/>
    <w:rsid w:val="31E41CE9"/>
    <w:rsid w:val="31E848E1"/>
    <w:rsid w:val="31E866CA"/>
    <w:rsid w:val="31EA739C"/>
    <w:rsid w:val="31EB1674"/>
    <w:rsid w:val="31EB5EBC"/>
    <w:rsid w:val="31F53FD7"/>
    <w:rsid w:val="32044DED"/>
    <w:rsid w:val="320C562E"/>
    <w:rsid w:val="320F2B2D"/>
    <w:rsid w:val="3218123E"/>
    <w:rsid w:val="321A083A"/>
    <w:rsid w:val="321B3828"/>
    <w:rsid w:val="322E55E0"/>
    <w:rsid w:val="32314367"/>
    <w:rsid w:val="32331193"/>
    <w:rsid w:val="323C2DE7"/>
    <w:rsid w:val="3243100D"/>
    <w:rsid w:val="32445586"/>
    <w:rsid w:val="324500CE"/>
    <w:rsid w:val="324B35D8"/>
    <w:rsid w:val="325004A7"/>
    <w:rsid w:val="32570E4A"/>
    <w:rsid w:val="32594190"/>
    <w:rsid w:val="325E6365"/>
    <w:rsid w:val="32604EB6"/>
    <w:rsid w:val="3260642E"/>
    <w:rsid w:val="326170B4"/>
    <w:rsid w:val="32620F41"/>
    <w:rsid w:val="326354E4"/>
    <w:rsid w:val="32654DC4"/>
    <w:rsid w:val="32674841"/>
    <w:rsid w:val="32682F29"/>
    <w:rsid w:val="327A0FE8"/>
    <w:rsid w:val="3283636F"/>
    <w:rsid w:val="328D4088"/>
    <w:rsid w:val="32970DAC"/>
    <w:rsid w:val="32A50190"/>
    <w:rsid w:val="32CB178B"/>
    <w:rsid w:val="32DA6279"/>
    <w:rsid w:val="32DD2345"/>
    <w:rsid w:val="32E16709"/>
    <w:rsid w:val="32E334B8"/>
    <w:rsid w:val="32EA3795"/>
    <w:rsid w:val="32FE0237"/>
    <w:rsid w:val="330258B3"/>
    <w:rsid w:val="33106E3B"/>
    <w:rsid w:val="3317207A"/>
    <w:rsid w:val="331D5E99"/>
    <w:rsid w:val="333B1697"/>
    <w:rsid w:val="33546356"/>
    <w:rsid w:val="335B53D3"/>
    <w:rsid w:val="336765E2"/>
    <w:rsid w:val="337068B0"/>
    <w:rsid w:val="33727E29"/>
    <w:rsid w:val="33735C77"/>
    <w:rsid w:val="337436F9"/>
    <w:rsid w:val="338532FE"/>
    <w:rsid w:val="33874918"/>
    <w:rsid w:val="338A589D"/>
    <w:rsid w:val="33AA6EA7"/>
    <w:rsid w:val="33B353F8"/>
    <w:rsid w:val="33C527AD"/>
    <w:rsid w:val="33E605A3"/>
    <w:rsid w:val="33E62733"/>
    <w:rsid w:val="33E706E6"/>
    <w:rsid w:val="33EF6CCA"/>
    <w:rsid w:val="33F507C0"/>
    <w:rsid w:val="33F7797D"/>
    <w:rsid w:val="33F86846"/>
    <w:rsid w:val="33FC29AF"/>
    <w:rsid w:val="34057765"/>
    <w:rsid w:val="34080D0D"/>
    <w:rsid w:val="340F1379"/>
    <w:rsid w:val="34165FD6"/>
    <w:rsid w:val="341F486C"/>
    <w:rsid w:val="34202886"/>
    <w:rsid w:val="34257C99"/>
    <w:rsid w:val="34300B2E"/>
    <w:rsid w:val="343F6D1F"/>
    <w:rsid w:val="344062C5"/>
    <w:rsid w:val="34494F90"/>
    <w:rsid w:val="344A43D0"/>
    <w:rsid w:val="344E244F"/>
    <w:rsid w:val="34527864"/>
    <w:rsid w:val="345B2367"/>
    <w:rsid w:val="345D5B88"/>
    <w:rsid w:val="345F6B7A"/>
    <w:rsid w:val="34612845"/>
    <w:rsid w:val="34692D0C"/>
    <w:rsid w:val="34710119"/>
    <w:rsid w:val="347155AE"/>
    <w:rsid w:val="348E3E46"/>
    <w:rsid w:val="34993356"/>
    <w:rsid w:val="3499617D"/>
    <w:rsid w:val="349E40E0"/>
    <w:rsid w:val="34A25FA3"/>
    <w:rsid w:val="34A40A14"/>
    <w:rsid w:val="34A54544"/>
    <w:rsid w:val="34A87467"/>
    <w:rsid w:val="34B276FC"/>
    <w:rsid w:val="34C40B45"/>
    <w:rsid w:val="34C51DA1"/>
    <w:rsid w:val="34CB3CAA"/>
    <w:rsid w:val="34CB44D4"/>
    <w:rsid w:val="34CD5068"/>
    <w:rsid w:val="34CE2B5B"/>
    <w:rsid w:val="34D310B7"/>
    <w:rsid w:val="34DA42C5"/>
    <w:rsid w:val="34DC291B"/>
    <w:rsid w:val="34DC293B"/>
    <w:rsid w:val="34DE4EC9"/>
    <w:rsid w:val="34E6186B"/>
    <w:rsid w:val="34E944F6"/>
    <w:rsid w:val="34E94AA0"/>
    <w:rsid w:val="34F53301"/>
    <w:rsid w:val="34FA611E"/>
    <w:rsid w:val="34FC7CE7"/>
    <w:rsid w:val="34FF53FE"/>
    <w:rsid w:val="35031A87"/>
    <w:rsid w:val="3505478E"/>
    <w:rsid w:val="350619E7"/>
    <w:rsid w:val="35070A28"/>
    <w:rsid w:val="350E680C"/>
    <w:rsid w:val="351475D4"/>
    <w:rsid w:val="35157CC7"/>
    <w:rsid w:val="35197428"/>
    <w:rsid w:val="35217336"/>
    <w:rsid w:val="35290A77"/>
    <w:rsid w:val="35294C92"/>
    <w:rsid w:val="352C6929"/>
    <w:rsid w:val="35356F10"/>
    <w:rsid w:val="353E2C35"/>
    <w:rsid w:val="354C20F6"/>
    <w:rsid w:val="354D285A"/>
    <w:rsid w:val="355C013C"/>
    <w:rsid w:val="355C43DA"/>
    <w:rsid w:val="356A601B"/>
    <w:rsid w:val="357F5AE4"/>
    <w:rsid w:val="358B79C9"/>
    <w:rsid w:val="3596247A"/>
    <w:rsid w:val="359A00B9"/>
    <w:rsid w:val="359F2D89"/>
    <w:rsid w:val="35AF316B"/>
    <w:rsid w:val="35B07503"/>
    <w:rsid w:val="35BA0C0A"/>
    <w:rsid w:val="35BB35B3"/>
    <w:rsid w:val="35C07A3B"/>
    <w:rsid w:val="35C837DE"/>
    <w:rsid w:val="35E61891"/>
    <w:rsid w:val="35EA135A"/>
    <w:rsid w:val="35FC56A1"/>
    <w:rsid w:val="360635C0"/>
    <w:rsid w:val="360F68C0"/>
    <w:rsid w:val="36156D8B"/>
    <w:rsid w:val="361F6A4F"/>
    <w:rsid w:val="36225127"/>
    <w:rsid w:val="36237E20"/>
    <w:rsid w:val="362401BB"/>
    <w:rsid w:val="36250A64"/>
    <w:rsid w:val="3625601B"/>
    <w:rsid w:val="36301676"/>
    <w:rsid w:val="36443BBC"/>
    <w:rsid w:val="36471F7B"/>
    <w:rsid w:val="3658693A"/>
    <w:rsid w:val="36643DCC"/>
    <w:rsid w:val="366F3FE8"/>
    <w:rsid w:val="36752EF3"/>
    <w:rsid w:val="367620D2"/>
    <w:rsid w:val="3689139F"/>
    <w:rsid w:val="36921C62"/>
    <w:rsid w:val="36940956"/>
    <w:rsid w:val="3698771E"/>
    <w:rsid w:val="369E6B59"/>
    <w:rsid w:val="36A547E4"/>
    <w:rsid w:val="36C30B3F"/>
    <w:rsid w:val="36C37DD0"/>
    <w:rsid w:val="36C55AEA"/>
    <w:rsid w:val="36C76552"/>
    <w:rsid w:val="36CC228A"/>
    <w:rsid w:val="36CF7208"/>
    <w:rsid w:val="36D27DEB"/>
    <w:rsid w:val="36D33548"/>
    <w:rsid w:val="36D608DC"/>
    <w:rsid w:val="36DC334F"/>
    <w:rsid w:val="36ED4C29"/>
    <w:rsid w:val="36ED7BA0"/>
    <w:rsid w:val="36EE1B2E"/>
    <w:rsid w:val="36F3193B"/>
    <w:rsid w:val="36F35F61"/>
    <w:rsid w:val="36F4557F"/>
    <w:rsid w:val="36F5335F"/>
    <w:rsid w:val="36F61CCE"/>
    <w:rsid w:val="36F92D8C"/>
    <w:rsid w:val="36FB77C2"/>
    <w:rsid w:val="37012B98"/>
    <w:rsid w:val="37015D0E"/>
    <w:rsid w:val="37070D11"/>
    <w:rsid w:val="37137CB4"/>
    <w:rsid w:val="37144D1B"/>
    <w:rsid w:val="372A7016"/>
    <w:rsid w:val="373320D7"/>
    <w:rsid w:val="37333E6F"/>
    <w:rsid w:val="373A70B3"/>
    <w:rsid w:val="373F53DD"/>
    <w:rsid w:val="374F5EDD"/>
    <w:rsid w:val="3751494E"/>
    <w:rsid w:val="37517F5F"/>
    <w:rsid w:val="375303E0"/>
    <w:rsid w:val="3754304E"/>
    <w:rsid w:val="37591545"/>
    <w:rsid w:val="375948AC"/>
    <w:rsid w:val="37604F97"/>
    <w:rsid w:val="376673D3"/>
    <w:rsid w:val="376748F3"/>
    <w:rsid w:val="37697D7D"/>
    <w:rsid w:val="376C5D00"/>
    <w:rsid w:val="376E24E4"/>
    <w:rsid w:val="376E276D"/>
    <w:rsid w:val="37705A8E"/>
    <w:rsid w:val="377F6AB6"/>
    <w:rsid w:val="378B3806"/>
    <w:rsid w:val="379B625C"/>
    <w:rsid w:val="37A04E93"/>
    <w:rsid w:val="37A10ACA"/>
    <w:rsid w:val="37A87B8D"/>
    <w:rsid w:val="37AC37ED"/>
    <w:rsid w:val="37B54672"/>
    <w:rsid w:val="37BB2876"/>
    <w:rsid w:val="37BC3FFD"/>
    <w:rsid w:val="37C62713"/>
    <w:rsid w:val="37CA5C4C"/>
    <w:rsid w:val="37CC2606"/>
    <w:rsid w:val="37D41C80"/>
    <w:rsid w:val="37DD5954"/>
    <w:rsid w:val="37DD68CF"/>
    <w:rsid w:val="37E51E4A"/>
    <w:rsid w:val="37EA0A17"/>
    <w:rsid w:val="37F457DC"/>
    <w:rsid w:val="37FE3B6D"/>
    <w:rsid w:val="38060C92"/>
    <w:rsid w:val="380A7603"/>
    <w:rsid w:val="380B0BB2"/>
    <w:rsid w:val="380D29D1"/>
    <w:rsid w:val="380D32F1"/>
    <w:rsid w:val="380D5D0D"/>
    <w:rsid w:val="3811540E"/>
    <w:rsid w:val="381A0A86"/>
    <w:rsid w:val="381A1DE7"/>
    <w:rsid w:val="381D1ED5"/>
    <w:rsid w:val="381E6014"/>
    <w:rsid w:val="38234CA6"/>
    <w:rsid w:val="382F1DF5"/>
    <w:rsid w:val="382F2C1E"/>
    <w:rsid w:val="383859AA"/>
    <w:rsid w:val="383D10D3"/>
    <w:rsid w:val="3840162B"/>
    <w:rsid w:val="384152F5"/>
    <w:rsid w:val="3847606F"/>
    <w:rsid w:val="38551B18"/>
    <w:rsid w:val="386947E2"/>
    <w:rsid w:val="386E76A4"/>
    <w:rsid w:val="387712B4"/>
    <w:rsid w:val="388073F3"/>
    <w:rsid w:val="38A47DD9"/>
    <w:rsid w:val="38A82AD5"/>
    <w:rsid w:val="38AC5C86"/>
    <w:rsid w:val="38AE71F6"/>
    <w:rsid w:val="38C113D0"/>
    <w:rsid w:val="38C757B4"/>
    <w:rsid w:val="38D67CAD"/>
    <w:rsid w:val="38D81226"/>
    <w:rsid w:val="38D834D0"/>
    <w:rsid w:val="38D8487C"/>
    <w:rsid w:val="38E73AEB"/>
    <w:rsid w:val="38F03CD4"/>
    <w:rsid w:val="39137E32"/>
    <w:rsid w:val="39140A3F"/>
    <w:rsid w:val="3914512A"/>
    <w:rsid w:val="39194758"/>
    <w:rsid w:val="391A77BD"/>
    <w:rsid w:val="392748D4"/>
    <w:rsid w:val="392A7A57"/>
    <w:rsid w:val="392B145C"/>
    <w:rsid w:val="3941547E"/>
    <w:rsid w:val="394B37F2"/>
    <w:rsid w:val="39504414"/>
    <w:rsid w:val="39581820"/>
    <w:rsid w:val="39592215"/>
    <w:rsid w:val="395C508A"/>
    <w:rsid w:val="396665B7"/>
    <w:rsid w:val="396D17C5"/>
    <w:rsid w:val="39836395"/>
    <w:rsid w:val="39947487"/>
    <w:rsid w:val="399F51B0"/>
    <w:rsid w:val="39A30FF9"/>
    <w:rsid w:val="39A51F15"/>
    <w:rsid w:val="39AA3828"/>
    <w:rsid w:val="39BA5F8E"/>
    <w:rsid w:val="39BB2EF1"/>
    <w:rsid w:val="39BB7640"/>
    <w:rsid w:val="39C1124F"/>
    <w:rsid w:val="39C54B72"/>
    <w:rsid w:val="39C678D5"/>
    <w:rsid w:val="39C75357"/>
    <w:rsid w:val="39C80452"/>
    <w:rsid w:val="39D32640"/>
    <w:rsid w:val="39D3500A"/>
    <w:rsid w:val="39D4314F"/>
    <w:rsid w:val="39D96419"/>
    <w:rsid w:val="39DA4378"/>
    <w:rsid w:val="39E55169"/>
    <w:rsid w:val="39E84553"/>
    <w:rsid w:val="39F21248"/>
    <w:rsid w:val="39F37AAD"/>
    <w:rsid w:val="3A016B19"/>
    <w:rsid w:val="3A1007A7"/>
    <w:rsid w:val="3A1423C7"/>
    <w:rsid w:val="3A1B4DE1"/>
    <w:rsid w:val="3A1E4714"/>
    <w:rsid w:val="3A271E26"/>
    <w:rsid w:val="3A337B0E"/>
    <w:rsid w:val="3A3E4729"/>
    <w:rsid w:val="3A4F216D"/>
    <w:rsid w:val="3A545486"/>
    <w:rsid w:val="3A553A4E"/>
    <w:rsid w:val="3A614977"/>
    <w:rsid w:val="3A675D63"/>
    <w:rsid w:val="3A707AC7"/>
    <w:rsid w:val="3A7A647F"/>
    <w:rsid w:val="3A7B233A"/>
    <w:rsid w:val="3A7D7564"/>
    <w:rsid w:val="3A860FB3"/>
    <w:rsid w:val="3A863EE5"/>
    <w:rsid w:val="3A880313"/>
    <w:rsid w:val="3A9A3131"/>
    <w:rsid w:val="3A9F7948"/>
    <w:rsid w:val="3AA02CE4"/>
    <w:rsid w:val="3AA628ED"/>
    <w:rsid w:val="3AAD52BC"/>
    <w:rsid w:val="3ACD2686"/>
    <w:rsid w:val="3ACE1617"/>
    <w:rsid w:val="3AD31906"/>
    <w:rsid w:val="3AD45894"/>
    <w:rsid w:val="3AE21327"/>
    <w:rsid w:val="3AEB123D"/>
    <w:rsid w:val="3AF2031D"/>
    <w:rsid w:val="3AF94B76"/>
    <w:rsid w:val="3AFA75DE"/>
    <w:rsid w:val="3AFC3DAF"/>
    <w:rsid w:val="3AFD1BC4"/>
    <w:rsid w:val="3AFF08D7"/>
    <w:rsid w:val="3B064E4F"/>
    <w:rsid w:val="3B10764F"/>
    <w:rsid w:val="3B1D3A24"/>
    <w:rsid w:val="3B23240C"/>
    <w:rsid w:val="3B325AAB"/>
    <w:rsid w:val="3B3814BF"/>
    <w:rsid w:val="3B4518B2"/>
    <w:rsid w:val="3B543F89"/>
    <w:rsid w:val="3B5B266B"/>
    <w:rsid w:val="3B5C31EF"/>
    <w:rsid w:val="3B5E7275"/>
    <w:rsid w:val="3B6B79F7"/>
    <w:rsid w:val="3B6C5CAC"/>
    <w:rsid w:val="3B7042D2"/>
    <w:rsid w:val="3B7444A1"/>
    <w:rsid w:val="3B7A31A7"/>
    <w:rsid w:val="3B8562F1"/>
    <w:rsid w:val="3B9001C6"/>
    <w:rsid w:val="3B915C47"/>
    <w:rsid w:val="3B9A744D"/>
    <w:rsid w:val="3BA400A0"/>
    <w:rsid w:val="3BC105F4"/>
    <w:rsid w:val="3BC25680"/>
    <w:rsid w:val="3BC80320"/>
    <w:rsid w:val="3BCB5FFF"/>
    <w:rsid w:val="3BDD4880"/>
    <w:rsid w:val="3BDD48F1"/>
    <w:rsid w:val="3BE315D0"/>
    <w:rsid w:val="3C0B00B1"/>
    <w:rsid w:val="3C1E76C4"/>
    <w:rsid w:val="3C3618D0"/>
    <w:rsid w:val="3C4645D5"/>
    <w:rsid w:val="3C4A2D55"/>
    <w:rsid w:val="3C4B0ED5"/>
    <w:rsid w:val="3C4E2473"/>
    <w:rsid w:val="3C564E2C"/>
    <w:rsid w:val="3C59573B"/>
    <w:rsid w:val="3C5A0F14"/>
    <w:rsid w:val="3C5B0B93"/>
    <w:rsid w:val="3C6834F3"/>
    <w:rsid w:val="3C7663A3"/>
    <w:rsid w:val="3C775263"/>
    <w:rsid w:val="3C797BA3"/>
    <w:rsid w:val="3C7C10C8"/>
    <w:rsid w:val="3C913E3D"/>
    <w:rsid w:val="3C9A0E2A"/>
    <w:rsid w:val="3C9F5AFE"/>
    <w:rsid w:val="3CA011A6"/>
    <w:rsid w:val="3CA53DD8"/>
    <w:rsid w:val="3CA84429"/>
    <w:rsid w:val="3CB13D90"/>
    <w:rsid w:val="3CB37024"/>
    <w:rsid w:val="3CB455EF"/>
    <w:rsid w:val="3CB74350"/>
    <w:rsid w:val="3CBA69AE"/>
    <w:rsid w:val="3CBB3FC8"/>
    <w:rsid w:val="3CBC782A"/>
    <w:rsid w:val="3CBD75BF"/>
    <w:rsid w:val="3CC33BCC"/>
    <w:rsid w:val="3CC64260"/>
    <w:rsid w:val="3CD641A1"/>
    <w:rsid w:val="3CD749CE"/>
    <w:rsid w:val="3CD92F92"/>
    <w:rsid w:val="3CDB3878"/>
    <w:rsid w:val="3CE2490A"/>
    <w:rsid w:val="3CE737E9"/>
    <w:rsid w:val="3CEA648A"/>
    <w:rsid w:val="3CEB35AE"/>
    <w:rsid w:val="3CED5F04"/>
    <w:rsid w:val="3CF10C08"/>
    <w:rsid w:val="3CF7171E"/>
    <w:rsid w:val="3CFB3E23"/>
    <w:rsid w:val="3CFF2722"/>
    <w:rsid w:val="3D06102C"/>
    <w:rsid w:val="3D1502D9"/>
    <w:rsid w:val="3D1A0A75"/>
    <w:rsid w:val="3D1C254B"/>
    <w:rsid w:val="3D22054B"/>
    <w:rsid w:val="3D22095C"/>
    <w:rsid w:val="3D230095"/>
    <w:rsid w:val="3D293A7B"/>
    <w:rsid w:val="3D2A143A"/>
    <w:rsid w:val="3D2D2F86"/>
    <w:rsid w:val="3D3D244B"/>
    <w:rsid w:val="3D3E5C2A"/>
    <w:rsid w:val="3D48778C"/>
    <w:rsid w:val="3D49044C"/>
    <w:rsid w:val="3D555673"/>
    <w:rsid w:val="3D563FC7"/>
    <w:rsid w:val="3D5657CC"/>
    <w:rsid w:val="3D594824"/>
    <w:rsid w:val="3D5D2E26"/>
    <w:rsid w:val="3D5D3C10"/>
    <w:rsid w:val="3D662D21"/>
    <w:rsid w:val="3D6C4287"/>
    <w:rsid w:val="3D6D08CF"/>
    <w:rsid w:val="3D712DE8"/>
    <w:rsid w:val="3D764B63"/>
    <w:rsid w:val="3D8561AB"/>
    <w:rsid w:val="3D876DDA"/>
    <w:rsid w:val="3D8818A6"/>
    <w:rsid w:val="3D8A63A1"/>
    <w:rsid w:val="3D8F6483"/>
    <w:rsid w:val="3D901BCD"/>
    <w:rsid w:val="3D913D7C"/>
    <w:rsid w:val="3D92550B"/>
    <w:rsid w:val="3D926692"/>
    <w:rsid w:val="3D993E1E"/>
    <w:rsid w:val="3D9A5C59"/>
    <w:rsid w:val="3D9A7025"/>
    <w:rsid w:val="3DA77E98"/>
    <w:rsid w:val="3DA80577"/>
    <w:rsid w:val="3DB03A43"/>
    <w:rsid w:val="3DB52FFB"/>
    <w:rsid w:val="3DB932B8"/>
    <w:rsid w:val="3DCD1CFC"/>
    <w:rsid w:val="3DDF3C84"/>
    <w:rsid w:val="3DE55CEB"/>
    <w:rsid w:val="3DE6611C"/>
    <w:rsid w:val="3DF17BDB"/>
    <w:rsid w:val="3DF379B0"/>
    <w:rsid w:val="3DF55B8D"/>
    <w:rsid w:val="3DF740D2"/>
    <w:rsid w:val="3DFF783E"/>
    <w:rsid w:val="3E0C635B"/>
    <w:rsid w:val="3E160BE6"/>
    <w:rsid w:val="3E1A7FC3"/>
    <w:rsid w:val="3E1C3D75"/>
    <w:rsid w:val="3E247176"/>
    <w:rsid w:val="3E263682"/>
    <w:rsid w:val="3E2942BE"/>
    <w:rsid w:val="3E2A01E1"/>
    <w:rsid w:val="3E2F3978"/>
    <w:rsid w:val="3E300439"/>
    <w:rsid w:val="3E320B89"/>
    <w:rsid w:val="3E3906BC"/>
    <w:rsid w:val="3E392C93"/>
    <w:rsid w:val="3E40014A"/>
    <w:rsid w:val="3E594070"/>
    <w:rsid w:val="3E5B42BC"/>
    <w:rsid w:val="3E6B4177"/>
    <w:rsid w:val="3E6C31C7"/>
    <w:rsid w:val="3E75521D"/>
    <w:rsid w:val="3E7B3DC7"/>
    <w:rsid w:val="3E8412E9"/>
    <w:rsid w:val="3E854631"/>
    <w:rsid w:val="3E9B4946"/>
    <w:rsid w:val="3E9E2778"/>
    <w:rsid w:val="3EAA3ADC"/>
    <w:rsid w:val="3EBB6B4F"/>
    <w:rsid w:val="3EBC4233"/>
    <w:rsid w:val="3EBC6464"/>
    <w:rsid w:val="3ED57CD3"/>
    <w:rsid w:val="3EDD4965"/>
    <w:rsid w:val="3EE10368"/>
    <w:rsid w:val="3EE1644A"/>
    <w:rsid w:val="3EE5603F"/>
    <w:rsid w:val="3EE964A0"/>
    <w:rsid w:val="3EEF12F8"/>
    <w:rsid w:val="3EF01E51"/>
    <w:rsid w:val="3EF13BC7"/>
    <w:rsid w:val="3EF178D3"/>
    <w:rsid w:val="3EF53D00"/>
    <w:rsid w:val="3EFC7E62"/>
    <w:rsid w:val="3F065FDA"/>
    <w:rsid w:val="3F0A667F"/>
    <w:rsid w:val="3F0C4369"/>
    <w:rsid w:val="3F1177FB"/>
    <w:rsid w:val="3F226537"/>
    <w:rsid w:val="3F256492"/>
    <w:rsid w:val="3F281FAB"/>
    <w:rsid w:val="3F2E2FA0"/>
    <w:rsid w:val="3F2F53AA"/>
    <w:rsid w:val="3F3146B5"/>
    <w:rsid w:val="3F3B0FCC"/>
    <w:rsid w:val="3F5754F3"/>
    <w:rsid w:val="3F651E10"/>
    <w:rsid w:val="3F6A5EE0"/>
    <w:rsid w:val="3F7B6230"/>
    <w:rsid w:val="3F7C37BD"/>
    <w:rsid w:val="3F7D4699"/>
    <w:rsid w:val="3F805A8A"/>
    <w:rsid w:val="3F9226AD"/>
    <w:rsid w:val="3F9E326F"/>
    <w:rsid w:val="3FAC4C5A"/>
    <w:rsid w:val="3FB37991"/>
    <w:rsid w:val="3FB83516"/>
    <w:rsid w:val="3FC105CF"/>
    <w:rsid w:val="3FC221AA"/>
    <w:rsid w:val="3FC335EF"/>
    <w:rsid w:val="3FD50D82"/>
    <w:rsid w:val="3FD546E5"/>
    <w:rsid w:val="3FDA0910"/>
    <w:rsid w:val="3FF90105"/>
    <w:rsid w:val="3FFC264C"/>
    <w:rsid w:val="40035786"/>
    <w:rsid w:val="401B068A"/>
    <w:rsid w:val="40215E46"/>
    <w:rsid w:val="40221971"/>
    <w:rsid w:val="402417C8"/>
    <w:rsid w:val="4026664B"/>
    <w:rsid w:val="40333762"/>
    <w:rsid w:val="40372073"/>
    <w:rsid w:val="403D6270"/>
    <w:rsid w:val="404A296D"/>
    <w:rsid w:val="404A73F1"/>
    <w:rsid w:val="404F52A8"/>
    <w:rsid w:val="4058209E"/>
    <w:rsid w:val="405B10A3"/>
    <w:rsid w:val="405B6EA5"/>
    <w:rsid w:val="405C0C68"/>
    <w:rsid w:val="405D626E"/>
    <w:rsid w:val="40711049"/>
    <w:rsid w:val="40774C14"/>
    <w:rsid w:val="408952B8"/>
    <w:rsid w:val="408B1BF3"/>
    <w:rsid w:val="408D50F6"/>
    <w:rsid w:val="4090378C"/>
    <w:rsid w:val="40A7323B"/>
    <w:rsid w:val="40B82715"/>
    <w:rsid w:val="40B97B50"/>
    <w:rsid w:val="40BD604C"/>
    <w:rsid w:val="40C2573C"/>
    <w:rsid w:val="40C6773E"/>
    <w:rsid w:val="40C72D6F"/>
    <w:rsid w:val="40C90C4C"/>
    <w:rsid w:val="40D34024"/>
    <w:rsid w:val="40E1035D"/>
    <w:rsid w:val="40EB768D"/>
    <w:rsid w:val="40ED32DF"/>
    <w:rsid w:val="40ED3BAF"/>
    <w:rsid w:val="40F94CAE"/>
    <w:rsid w:val="40FB7928"/>
    <w:rsid w:val="40FD66AE"/>
    <w:rsid w:val="40FF2E1E"/>
    <w:rsid w:val="41016518"/>
    <w:rsid w:val="412874F2"/>
    <w:rsid w:val="412912D7"/>
    <w:rsid w:val="41313685"/>
    <w:rsid w:val="41366B89"/>
    <w:rsid w:val="4137558E"/>
    <w:rsid w:val="413C7C6A"/>
    <w:rsid w:val="413F73A3"/>
    <w:rsid w:val="4141261B"/>
    <w:rsid w:val="41415E9E"/>
    <w:rsid w:val="414B69DE"/>
    <w:rsid w:val="415F71DB"/>
    <w:rsid w:val="4161520A"/>
    <w:rsid w:val="4162046A"/>
    <w:rsid w:val="416B795B"/>
    <w:rsid w:val="416C6B92"/>
    <w:rsid w:val="41771599"/>
    <w:rsid w:val="41840AA3"/>
    <w:rsid w:val="41874BF7"/>
    <w:rsid w:val="418C048F"/>
    <w:rsid w:val="418F0A21"/>
    <w:rsid w:val="41901C6D"/>
    <w:rsid w:val="419B767C"/>
    <w:rsid w:val="419E789A"/>
    <w:rsid w:val="41A6638B"/>
    <w:rsid w:val="41AD7794"/>
    <w:rsid w:val="41AF06D0"/>
    <w:rsid w:val="41B13BD3"/>
    <w:rsid w:val="41E65FA8"/>
    <w:rsid w:val="41E85D9B"/>
    <w:rsid w:val="420558C2"/>
    <w:rsid w:val="42057B28"/>
    <w:rsid w:val="42066023"/>
    <w:rsid w:val="421F7A8A"/>
    <w:rsid w:val="42282918"/>
    <w:rsid w:val="42283FBB"/>
    <w:rsid w:val="42360A3B"/>
    <w:rsid w:val="42547979"/>
    <w:rsid w:val="425F02AA"/>
    <w:rsid w:val="427B5D06"/>
    <w:rsid w:val="42814F13"/>
    <w:rsid w:val="42880654"/>
    <w:rsid w:val="428D14EF"/>
    <w:rsid w:val="42935A4A"/>
    <w:rsid w:val="429803FC"/>
    <w:rsid w:val="42A65AF0"/>
    <w:rsid w:val="42B51E33"/>
    <w:rsid w:val="42BA43FA"/>
    <w:rsid w:val="42D04A48"/>
    <w:rsid w:val="42DB4BE4"/>
    <w:rsid w:val="42E234D9"/>
    <w:rsid w:val="42FC2CDA"/>
    <w:rsid w:val="42FF2018"/>
    <w:rsid w:val="42FF71DC"/>
    <w:rsid w:val="43083B97"/>
    <w:rsid w:val="431C6058"/>
    <w:rsid w:val="432B3772"/>
    <w:rsid w:val="432B3FFF"/>
    <w:rsid w:val="432F1E46"/>
    <w:rsid w:val="43334661"/>
    <w:rsid w:val="434D155D"/>
    <w:rsid w:val="435077BE"/>
    <w:rsid w:val="43511A6A"/>
    <w:rsid w:val="435143B3"/>
    <w:rsid w:val="435E53D9"/>
    <w:rsid w:val="43625B18"/>
    <w:rsid w:val="436740A5"/>
    <w:rsid w:val="43693776"/>
    <w:rsid w:val="436D7BE6"/>
    <w:rsid w:val="436F3D4A"/>
    <w:rsid w:val="437D3FD8"/>
    <w:rsid w:val="438607EE"/>
    <w:rsid w:val="43864445"/>
    <w:rsid w:val="438C7FE1"/>
    <w:rsid w:val="439072B6"/>
    <w:rsid w:val="439240E9"/>
    <w:rsid w:val="439456EE"/>
    <w:rsid w:val="43A6325F"/>
    <w:rsid w:val="43AB2A94"/>
    <w:rsid w:val="43AB4022"/>
    <w:rsid w:val="43B04CC6"/>
    <w:rsid w:val="43B077D5"/>
    <w:rsid w:val="43B70AA5"/>
    <w:rsid w:val="43BD5DE5"/>
    <w:rsid w:val="43C20EE5"/>
    <w:rsid w:val="43C967C1"/>
    <w:rsid w:val="43CA2D3B"/>
    <w:rsid w:val="43D466CF"/>
    <w:rsid w:val="43D65E39"/>
    <w:rsid w:val="43E647D4"/>
    <w:rsid w:val="43E91A14"/>
    <w:rsid w:val="43EB255D"/>
    <w:rsid w:val="43ED6D81"/>
    <w:rsid w:val="43FC5D17"/>
    <w:rsid w:val="4406550C"/>
    <w:rsid w:val="440B437C"/>
    <w:rsid w:val="441111D7"/>
    <w:rsid w:val="44147633"/>
    <w:rsid w:val="44181DC4"/>
    <w:rsid w:val="44220155"/>
    <w:rsid w:val="442E0892"/>
    <w:rsid w:val="44315BD2"/>
    <w:rsid w:val="443448FA"/>
    <w:rsid w:val="443B3D0B"/>
    <w:rsid w:val="44464E91"/>
    <w:rsid w:val="444C0FE1"/>
    <w:rsid w:val="444C2E50"/>
    <w:rsid w:val="444C6D9A"/>
    <w:rsid w:val="444D54BA"/>
    <w:rsid w:val="44612E1A"/>
    <w:rsid w:val="44640298"/>
    <w:rsid w:val="446B3B3C"/>
    <w:rsid w:val="446B764F"/>
    <w:rsid w:val="4477539E"/>
    <w:rsid w:val="44786B9A"/>
    <w:rsid w:val="448A5BD2"/>
    <w:rsid w:val="449027F2"/>
    <w:rsid w:val="44905D3E"/>
    <w:rsid w:val="449149EB"/>
    <w:rsid w:val="449A6685"/>
    <w:rsid w:val="449B12BC"/>
    <w:rsid w:val="449D508C"/>
    <w:rsid w:val="44B36E39"/>
    <w:rsid w:val="44C70D21"/>
    <w:rsid w:val="44D6347B"/>
    <w:rsid w:val="44D637CF"/>
    <w:rsid w:val="44DC0C08"/>
    <w:rsid w:val="44DF3B1C"/>
    <w:rsid w:val="44E36014"/>
    <w:rsid w:val="44E84FAF"/>
    <w:rsid w:val="44EC7013"/>
    <w:rsid w:val="44F04025"/>
    <w:rsid w:val="44F11AA7"/>
    <w:rsid w:val="450953BD"/>
    <w:rsid w:val="450B3AD6"/>
    <w:rsid w:val="45185374"/>
    <w:rsid w:val="451922A0"/>
    <w:rsid w:val="451F73E2"/>
    <w:rsid w:val="452C3E8A"/>
    <w:rsid w:val="4531585F"/>
    <w:rsid w:val="4535259B"/>
    <w:rsid w:val="453646A9"/>
    <w:rsid w:val="453749C4"/>
    <w:rsid w:val="453C66A3"/>
    <w:rsid w:val="45427AA4"/>
    <w:rsid w:val="45563E95"/>
    <w:rsid w:val="45564CA5"/>
    <w:rsid w:val="455B6233"/>
    <w:rsid w:val="456666A9"/>
    <w:rsid w:val="45674AB8"/>
    <w:rsid w:val="456A6A48"/>
    <w:rsid w:val="456C230E"/>
    <w:rsid w:val="457504A8"/>
    <w:rsid w:val="45823E21"/>
    <w:rsid w:val="458755E2"/>
    <w:rsid w:val="45876B22"/>
    <w:rsid w:val="458967A2"/>
    <w:rsid w:val="458C7CEE"/>
    <w:rsid w:val="45912DE3"/>
    <w:rsid w:val="459609DD"/>
    <w:rsid w:val="459C0AF8"/>
    <w:rsid w:val="45A24E61"/>
    <w:rsid w:val="45A602D1"/>
    <w:rsid w:val="45B77E19"/>
    <w:rsid w:val="45C50B85"/>
    <w:rsid w:val="45CD7EFC"/>
    <w:rsid w:val="45D115D4"/>
    <w:rsid w:val="45D434E7"/>
    <w:rsid w:val="45E81422"/>
    <w:rsid w:val="45F37C26"/>
    <w:rsid w:val="45F718E3"/>
    <w:rsid w:val="45FA5E63"/>
    <w:rsid w:val="45FB094E"/>
    <w:rsid w:val="45FC4A4F"/>
    <w:rsid w:val="46035E4B"/>
    <w:rsid w:val="46097202"/>
    <w:rsid w:val="460B75F0"/>
    <w:rsid w:val="46153E08"/>
    <w:rsid w:val="461A028F"/>
    <w:rsid w:val="462A2C05"/>
    <w:rsid w:val="462D06BA"/>
    <w:rsid w:val="46301A20"/>
    <w:rsid w:val="463365C7"/>
    <w:rsid w:val="46382CB7"/>
    <w:rsid w:val="463E4FCC"/>
    <w:rsid w:val="464A7D79"/>
    <w:rsid w:val="465B2A61"/>
    <w:rsid w:val="465B6AFA"/>
    <w:rsid w:val="465D4497"/>
    <w:rsid w:val="46697211"/>
    <w:rsid w:val="46750B26"/>
    <w:rsid w:val="4676381B"/>
    <w:rsid w:val="467744FD"/>
    <w:rsid w:val="46831E6A"/>
    <w:rsid w:val="46845473"/>
    <w:rsid w:val="46872C73"/>
    <w:rsid w:val="4688298E"/>
    <w:rsid w:val="469C56BC"/>
    <w:rsid w:val="469F3B07"/>
    <w:rsid w:val="46A9603F"/>
    <w:rsid w:val="46AF30F0"/>
    <w:rsid w:val="46B20DC2"/>
    <w:rsid w:val="46B2224B"/>
    <w:rsid w:val="46BC538F"/>
    <w:rsid w:val="46BF681F"/>
    <w:rsid w:val="46D17DBE"/>
    <w:rsid w:val="46DD1652"/>
    <w:rsid w:val="46EE180B"/>
    <w:rsid w:val="46F61BF8"/>
    <w:rsid w:val="46FA2326"/>
    <w:rsid w:val="46FA4411"/>
    <w:rsid w:val="470258AE"/>
    <w:rsid w:val="470879C3"/>
    <w:rsid w:val="4712396A"/>
    <w:rsid w:val="47140188"/>
    <w:rsid w:val="471B36B5"/>
    <w:rsid w:val="4727041A"/>
    <w:rsid w:val="472B4EE8"/>
    <w:rsid w:val="473B28E5"/>
    <w:rsid w:val="474038F5"/>
    <w:rsid w:val="47471416"/>
    <w:rsid w:val="474A0C45"/>
    <w:rsid w:val="474D1906"/>
    <w:rsid w:val="475268B4"/>
    <w:rsid w:val="475F15EE"/>
    <w:rsid w:val="47605D7C"/>
    <w:rsid w:val="4763169F"/>
    <w:rsid w:val="476C6F09"/>
    <w:rsid w:val="47764E9F"/>
    <w:rsid w:val="4778039B"/>
    <w:rsid w:val="477B46FA"/>
    <w:rsid w:val="47837A59"/>
    <w:rsid w:val="47870874"/>
    <w:rsid w:val="478902C6"/>
    <w:rsid w:val="47905C32"/>
    <w:rsid w:val="479A1B89"/>
    <w:rsid w:val="479B06F0"/>
    <w:rsid w:val="479B5B72"/>
    <w:rsid w:val="47B32E9C"/>
    <w:rsid w:val="47C33B59"/>
    <w:rsid w:val="47D4777A"/>
    <w:rsid w:val="47E25938"/>
    <w:rsid w:val="47E44403"/>
    <w:rsid w:val="47E51A1D"/>
    <w:rsid w:val="47E87586"/>
    <w:rsid w:val="47FC6227"/>
    <w:rsid w:val="48045ECF"/>
    <w:rsid w:val="48053289"/>
    <w:rsid w:val="48066B36"/>
    <w:rsid w:val="480A0E7F"/>
    <w:rsid w:val="48132A87"/>
    <w:rsid w:val="4819263A"/>
    <w:rsid w:val="48212AE9"/>
    <w:rsid w:val="48334182"/>
    <w:rsid w:val="4839608B"/>
    <w:rsid w:val="483C7010"/>
    <w:rsid w:val="483D2A3F"/>
    <w:rsid w:val="483D47E8"/>
    <w:rsid w:val="484D2F56"/>
    <w:rsid w:val="48516B82"/>
    <w:rsid w:val="486A78F9"/>
    <w:rsid w:val="486C4CE7"/>
    <w:rsid w:val="487A5B9D"/>
    <w:rsid w:val="487C1EE1"/>
    <w:rsid w:val="487C1FF8"/>
    <w:rsid w:val="488E5795"/>
    <w:rsid w:val="489713C3"/>
    <w:rsid w:val="489934C9"/>
    <w:rsid w:val="48A262B1"/>
    <w:rsid w:val="48B337D7"/>
    <w:rsid w:val="48B459D5"/>
    <w:rsid w:val="48BA78DE"/>
    <w:rsid w:val="48BC2773"/>
    <w:rsid w:val="48C12AEC"/>
    <w:rsid w:val="48C301EE"/>
    <w:rsid w:val="48CB1CC0"/>
    <w:rsid w:val="48CD60E9"/>
    <w:rsid w:val="48E32521"/>
    <w:rsid w:val="48E7025A"/>
    <w:rsid w:val="48F915AA"/>
    <w:rsid w:val="490D2367"/>
    <w:rsid w:val="49163580"/>
    <w:rsid w:val="49277BF0"/>
    <w:rsid w:val="492B471A"/>
    <w:rsid w:val="493630B4"/>
    <w:rsid w:val="4938343E"/>
    <w:rsid w:val="494D0BBC"/>
    <w:rsid w:val="4953205B"/>
    <w:rsid w:val="49582843"/>
    <w:rsid w:val="49647D77"/>
    <w:rsid w:val="49773A63"/>
    <w:rsid w:val="4979753C"/>
    <w:rsid w:val="49831A94"/>
    <w:rsid w:val="498B6791"/>
    <w:rsid w:val="498D56B8"/>
    <w:rsid w:val="49987553"/>
    <w:rsid w:val="49987657"/>
    <w:rsid w:val="499B244F"/>
    <w:rsid w:val="49A418F2"/>
    <w:rsid w:val="49A45D7F"/>
    <w:rsid w:val="49B71D80"/>
    <w:rsid w:val="49B95283"/>
    <w:rsid w:val="49C8100A"/>
    <w:rsid w:val="49D31886"/>
    <w:rsid w:val="49D742BD"/>
    <w:rsid w:val="49D76E8A"/>
    <w:rsid w:val="49D772F7"/>
    <w:rsid w:val="49DA5F12"/>
    <w:rsid w:val="49E12C41"/>
    <w:rsid w:val="49FF2037"/>
    <w:rsid w:val="4A072E04"/>
    <w:rsid w:val="4A0F0210"/>
    <w:rsid w:val="4A1930E3"/>
    <w:rsid w:val="4A1D18AC"/>
    <w:rsid w:val="4A1F7A1C"/>
    <w:rsid w:val="4A252C0D"/>
    <w:rsid w:val="4A270A04"/>
    <w:rsid w:val="4A2E5242"/>
    <w:rsid w:val="4A302632"/>
    <w:rsid w:val="4A35264E"/>
    <w:rsid w:val="4A3F748D"/>
    <w:rsid w:val="4A455B50"/>
    <w:rsid w:val="4A565177"/>
    <w:rsid w:val="4A693DA2"/>
    <w:rsid w:val="4A6C027D"/>
    <w:rsid w:val="4A6D079D"/>
    <w:rsid w:val="4A6E3AAD"/>
    <w:rsid w:val="4A6F5CAB"/>
    <w:rsid w:val="4A6F608D"/>
    <w:rsid w:val="4A713BA9"/>
    <w:rsid w:val="4A714A31"/>
    <w:rsid w:val="4A79203D"/>
    <w:rsid w:val="4A7F1811"/>
    <w:rsid w:val="4A8401CF"/>
    <w:rsid w:val="4A876BD5"/>
    <w:rsid w:val="4A880DD3"/>
    <w:rsid w:val="4A885CE1"/>
    <w:rsid w:val="4A9138C5"/>
    <w:rsid w:val="4A9B1CEA"/>
    <w:rsid w:val="4A9B7DF4"/>
    <w:rsid w:val="4AA50B31"/>
    <w:rsid w:val="4AB961F9"/>
    <w:rsid w:val="4ABE4F66"/>
    <w:rsid w:val="4AD27AF9"/>
    <w:rsid w:val="4ADB4E28"/>
    <w:rsid w:val="4AEB0E78"/>
    <w:rsid w:val="4AF57E89"/>
    <w:rsid w:val="4AF75899"/>
    <w:rsid w:val="4B0226BD"/>
    <w:rsid w:val="4B026900"/>
    <w:rsid w:val="4B0372DA"/>
    <w:rsid w:val="4B051A22"/>
    <w:rsid w:val="4B0B13AD"/>
    <w:rsid w:val="4B0E4911"/>
    <w:rsid w:val="4B0F02D7"/>
    <w:rsid w:val="4B0F28E0"/>
    <w:rsid w:val="4B133625"/>
    <w:rsid w:val="4B211352"/>
    <w:rsid w:val="4B212712"/>
    <w:rsid w:val="4B234FA7"/>
    <w:rsid w:val="4B272D9E"/>
    <w:rsid w:val="4B2F1571"/>
    <w:rsid w:val="4B2F60E9"/>
    <w:rsid w:val="4B333D7A"/>
    <w:rsid w:val="4B357FF2"/>
    <w:rsid w:val="4B474C3C"/>
    <w:rsid w:val="4B4E7897"/>
    <w:rsid w:val="4B5155E4"/>
    <w:rsid w:val="4B5523AC"/>
    <w:rsid w:val="4B6A263C"/>
    <w:rsid w:val="4B6D7BD1"/>
    <w:rsid w:val="4B711088"/>
    <w:rsid w:val="4B71753F"/>
    <w:rsid w:val="4B75464C"/>
    <w:rsid w:val="4B7C32A7"/>
    <w:rsid w:val="4B804BEF"/>
    <w:rsid w:val="4B8D1BEB"/>
    <w:rsid w:val="4B90799F"/>
    <w:rsid w:val="4B917087"/>
    <w:rsid w:val="4B920F18"/>
    <w:rsid w:val="4B982295"/>
    <w:rsid w:val="4B9B04AA"/>
    <w:rsid w:val="4BA7122B"/>
    <w:rsid w:val="4BBE0E50"/>
    <w:rsid w:val="4BC04B2A"/>
    <w:rsid w:val="4BC44A9F"/>
    <w:rsid w:val="4BC74E08"/>
    <w:rsid w:val="4BCF31C1"/>
    <w:rsid w:val="4BD07997"/>
    <w:rsid w:val="4BDF0ABE"/>
    <w:rsid w:val="4BE3005B"/>
    <w:rsid w:val="4BE32C45"/>
    <w:rsid w:val="4BEE6A8E"/>
    <w:rsid w:val="4BEF158F"/>
    <w:rsid w:val="4BF91035"/>
    <w:rsid w:val="4BFA0F7F"/>
    <w:rsid w:val="4C06151E"/>
    <w:rsid w:val="4C0628C9"/>
    <w:rsid w:val="4C063E0F"/>
    <w:rsid w:val="4C0E1ED4"/>
    <w:rsid w:val="4C1C3157"/>
    <w:rsid w:val="4C1F216E"/>
    <w:rsid w:val="4C275355"/>
    <w:rsid w:val="4C293D83"/>
    <w:rsid w:val="4C372F31"/>
    <w:rsid w:val="4C3A5258"/>
    <w:rsid w:val="4C420CDE"/>
    <w:rsid w:val="4C4920B9"/>
    <w:rsid w:val="4C534682"/>
    <w:rsid w:val="4C5D443A"/>
    <w:rsid w:val="4C5E314E"/>
    <w:rsid w:val="4C5E7E02"/>
    <w:rsid w:val="4C625B96"/>
    <w:rsid w:val="4C6F66E5"/>
    <w:rsid w:val="4C730675"/>
    <w:rsid w:val="4C766CCA"/>
    <w:rsid w:val="4C88631A"/>
    <w:rsid w:val="4C893083"/>
    <w:rsid w:val="4C914A2C"/>
    <w:rsid w:val="4C942881"/>
    <w:rsid w:val="4C943432"/>
    <w:rsid w:val="4CAA410C"/>
    <w:rsid w:val="4CB0381C"/>
    <w:rsid w:val="4CB430FF"/>
    <w:rsid w:val="4CB53967"/>
    <w:rsid w:val="4CCE2312"/>
    <w:rsid w:val="4CD020F9"/>
    <w:rsid w:val="4CD66EFD"/>
    <w:rsid w:val="4CE20FB3"/>
    <w:rsid w:val="4CE87639"/>
    <w:rsid w:val="4CF052B4"/>
    <w:rsid w:val="4CF14C15"/>
    <w:rsid w:val="4CF5694E"/>
    <w:rsid w:val="4CFC145C"/>
    <w:rsid w:val="4CFD0B53"/>
    <w:rsid w:val="4D176FE7"/>
    <w:rsid w:val="4D23781E"/>
    <w:rsid w:val="4D252A58"/>
    <w:rsid w:val="4D2532D4"/>
    <w:rsid w:val="4D28600F"/>
    <w:rsid w:val="4D2F0C57"/>
    <w:rsid w:val="4D2F7723"/>
    <w:rsid w:val="4D406BD1"/>
    <w:rsid w:val="4D4275E6"/>
    <w:rsid w:val="4D4C4647"/>
    <w:rsid w:val="4D5B7978"/>
    <w:rsid w:val="4D604A8B"/>
    <w:rsid w:val="4D605A45"/>
    <w:rsid w:val="4D672B5A"/>
    <w:rsid w:val="4D6B231B"/>
    <w:rsid w:val="4D6D4E0F"/>
    <w:rsid w:val="4D720863"/>
    <w:rsid w:val="4D796F28"/>
    <w:rsid w:val="4D7A37A4"/>
    <w:rsid w:val="4D897449"/>
    <w:rsid w:val="4D8E0CB9"/>
    <w:rsid w:val="4DAB7096"/>
    <w:rsid w:val="4DAC59F8"/>
    <w:rsid w:val="4DB30B46"/>
    <w:rsid w:val="4DBE51F0"/>
    <w:rsid w:val="4DBF1566"/>
    <w:rsid w:val="4DC537A4"/>
    <w:rsid w:val="4DD2095A"/>
    <w:rsid w:val="4DD74688"/>
    <w:rsid w:val="4DE72443"/>
    <w:rsid w:val="4DF521AC"/>
    <w:rsid w:val="4DF8661D"/>
    <w:rsid w:val="4DF92CF9"/>
    <w:rsid w:val="4DFD7208"/>
    <w:rsid w:val="4E062B9E"/>
    <w:rsid w:val="4E0B7BC5"/>
    <w:rsid w:val="4E0E2C9E"/>
    <w:rsid w:val="4E0F16F8"/>
    <w:rsid w:val="4E1061A1"/>
    <w:rsid w:val="4E197504"/>
    <w:rsid w:val="4E1F5DA5"/>
    <w:rsid w:val="4E20643C"/>
    <w:rsid w:val="4E247171"/>
    <w:rsid w:val="4E2F4D0C"/>
    <w:rsid w:val="4E3A771D"/>
    <w:rsid w:val="4E3C2E77"/>
    <w:rsid w:val="4E3E4797"/>
    <w:rsid w:val="4E4F3083"/>
    <w:rsid w:val="4E5079C5"/>
    <w:rsid w:val="4E514A0D"/>
    <w:rsid w:val="4E535BC6"/>
    <w:rsid w:val="4E623BD3"/>
    <w:rsid w:val="4E710848"/>
    <w:rsid w:val="4E751D36"/>
    <w:rsid w:val="4E787BF5"/>
    <w:rsid w:val="4E8929D8"/>
    <w:rsid w:val="4E8F4ECD"/>
    <w:rsid w:val="4E9545D6"/>
    <w:rsid w:val="4E993495"/>
    <w:rsid w:val="4E9C3C74"/>
    <w:rsid w:val="4EB0766E"/>
    <w:rsid w:val="4EB2058C"/>
    <w:rsid w:val="4EC17681"/>
    <w:rsid w:val="4EC6244D"/>
    <w:rsid w:val="4ECF3883"/>
    <w:rsid w:val="4EEF1B44"/>
    <w:rsid w:val="4EF162D8"/>
    <w:rsid w:val="4EFB714D"/>
    <w:rsid w:val="4F032FC6"/>
    <w:rsid w:val="4F0A27C3"/>
    <w:rsid w:val="4F0A5316"/>
    <w:rsid w:val="4F0B63DC"/>
    <w:rsid w:val="4F1D369F"/>
    <w:rsid w:val="4F290247"/>
    <w:rsid w:val="4F2C5674"/>
    <w:rsid w:val="4F3048F9"/>
    <w:rsid w:val="4F311AFC"/>
    <w:rsid w:val="4F332C0A"/>
    <w:rsid w:val="4F3A27FB"/>
    <w:rsid w:val="4F3E48A4"/>
    <w:rsid w:val="4F4237F4"/>
    <w:rsid w:val="4F433DC8"/>
    <w:rsid w:val="4F4D4DEC"/>
    <w:rsid w:val="4F615AA1"/>
    <w:rsid w:val="4F623A1F"/>
    <w:rsid w:val="4F745A69"/>
    <w:rsid w:val="4F7B5358"/>
    <w:rsid w:val="4F7C6731"/>
    <w:rsid w:val="4F8A2099"/>
    <w:rsid w:val="4F905399"/>
    <w:rsid w:val="4F907343"/>
    <w:rsid w:val="4F945373"/>
    <w:rsid w:val="4F9F68AD"/>
    <w:rsid w:val="4FA14EEC"/>
    <w:rsid w:val="4FA407B6"/>
    <w:rsid w:val="4FA84227"/>
    <w:rsid w:val="4FB06235"/>
    <w:rsid w:val="4FB777D7"/>
    <w:rsid w:val="4FBB61DD"/>
    <w:rsid w:val="4FC50CEB"/>
    <w:rsid w:val="4FCB05F0"/>
    <w:rsid w:val="4FD417C1"/>
    <w:rsid w:val="4FDC039B"/>
    <w:rsid w:val="4FE223EE"/>
    <w:rsid w:val="4FE9233D"/>
    <w:rsid w:val="4FED29C9"/>
    <w:rsid w:val="4FF77751"/>
    <w:rsid w:val="4FFB4A48"/>
    <w:rsid w:val="50026FE7"/>
    <w:rsid w:val="50085A55"/>
    <w:rsid w:val="50091D29"/>
    <w:rsid w:val="500C4CE2"/>
    <w:rsid w:val="501F59A7"/>
    <w:rsid w:val="5022447E"/>
    <w:rsid w:val="5026588C"/>
    <w:rsid w:val="50294293"/>
    <w:rsid w:val="502A6491"/>
    <w:rsid w:val="502B7796"/>
    <w:rsid w:val="50334BA2"/>
    <w:rsid w:val="5034582C"/>
    <w:rsid w:val="503D3F59"/>
    <w:rsid w:val="50590CAE"/>
    <w:rsid w:val="505D7A63"/>
    <w:rsid w:val="505E7EE5"/>
    <w:rsid w:val="506A2570"/>
    <w:rsid w:val="506F7207"/>
    <w:rsid w:val="508362F4"/>
    <w:rsid w:val="509016B8"/>
    <w:rsid w:val="509155EC"/>
    <w:rsid w:val="50A37702"/>
    <w:rsid w:val="50A6221C"/>
    <w:rsid w:val="50A7112B"/>
    <w:rsid w:val="50AC4C20"/>
    <w:rsid w:val="50B61B8B"/>
    <w:rsid w:val="50B97F67"/>
    <w:rsid w:val="50BB5710"/>
    <w:rsid w:val="50BD4B06"/>
    <w:rsid w:val="50BD6100"/>
    <w:rsid w:val="50C3182D"/>
    <w:rsid w:val="50CC6C48"/>
    <w:rsid w:val="50CE3C1C"/>
    <w:rsid w:val="50CF1225"/>
    <w:rsid w:val="50D379A3"/>
    <w:rsid w:val="50D942FA"/>
    <w:rsid w:val="50DF4C67"/>
    <w:rsid w:val="50E00158"/>
    <w:rsid w:val="50E334B9"/>
    <w:rsid w:val="50E8434B"/>
    <w:rsid w:val="50EE1EB6"/>
    <w:rsid w:val="50F0291C"/>
    <w:rsid w:val="50F7214E"/>
    <w:rsid w:val="50FD44A4"/>
    <w:rsid w:val="51121CFE"/>
    <w:rsid w:val="51183F1B"/>
    <w:rsid w:val="511E6B5D"/>
    <w:rsid w:val="5128441E"/>
    <w:rsid w:val="51286AE9"/>
    <w:rsid w:val="512F3B40"/>
    <w:rsid w:val="51317B76"/>
    <w:rsid w:val="51322546"/>
    <w:rsid w:val="51463765"/>
    <w:rsid w:val="514B42A9"/>
    <w:rsid w:val="514C197F"/>
    <w:rsid w:val="51513CF5"/>
    <w:rsid w:val="51521776"/>
    <w:rsid w:val="5163492D"/>
    <w:rsid w:val="516A3D84"/>
    <w:rsid w:val="516C5BB7"/>
    <w:rsid w:val="51822028"/>
    <w:rsid w:val="51850F30"/>
    <w:rsid w:val="51881606"/>
    <w:rsid w:val="518E2820"/>
    <w:rsid w:val="51937C52"/>
    <w:rsid w:val="51976B19"/>
    <w:rsid w:val="51A14D79"/>
    <w:rsid w:val="51AB5465"/>
    <w:rsid w:val="51AC5137"/>
    <w:rsid w:val="51AF4F86"/>
    <w:rsid w:val="51B463DB"/>
    <w:rsid w:val="51B53A19"/>
    <w:rsid w:val="51C979DD"/>
    <w:rsid w:val="51CB4AE6"/>
    <w:rsid w:val="51CD5936"/>
    <w:rsid w:val="51D30163"/>
    <w:rsid w:val="51D60177"/>
    <w:rsid w:val="51DF5EE2"/>
    <w:rsid w:val="51E03964"/>
    <w:rsid w:val="51ED3749"/>
    <w:rsid w:val="51EF28F9"/>
    <w:rsid w:val="51F241FD"/>
    <w:rsid w:val="51FB6B35"/>
    <w:rsid w:val="52073CB9"/>
    <w:rsid w:val="52114133"/>
    <w:rsid w:val="52163FA9"/>
    <w:rsid w:val="52170DFD"/>
    <w:rsid w:val="52335BEB"/>
    <w:rsid w:val="523A74FC"/>
    <w:rsid w:val="523D42DD"/>
    <w:rsid w:val="523F3969"/>
    <w:rsid w:val="524013FF"/>
    <w:rsid w:val="52420B60"/>
    <w:rsid w:val="5249428D"/>
    <w:rsid w:val="524A06C1"/>
    <w:rsid w:val="52500BCD"/>
    <w:rsid w:val="525A559E"/>
    <w:rsid w:val="52697598"/>
    <w:rsid w:val="527A7F2D"/>
    <w:rsid w:val="528364E8"/>
    <w:rsid w:val="52853336"/>
    <w:rsid w:val="52873D72"/>
    <w:rsid w:val="52881D50"/>
    <w:rsid w:val="52892CBA"/>
    <w:rsid w:val="5290200B"/>
    <w:rsid w:val="529B3EC4"/>
    <w:rsid w:val="529F7175"/>
    <w:rsid w:val="52AE52B6"/>
    <w:rsid w:val="52B762E9"/>
    <w:rsid w:val="52BD2F9B"/>
    <w:rsid w:val="52C26FD6"/>
    <w:rsid w:val="52D42B97"/>
    <w:rsid w:val="52DF2202"/>
    <w:rsid w:val="52E07FB1"/>
    <w:rsid w:val="52E87ECD"/>
    <w:rsid w:val="52EE339D"/>
    <w:rsid w:val="52F0450E"/>
    <w:rsid w:val="52FA1B20"/>
    <w:rsid w:val="52FF0094"/>
    <w:rsid w:val="5306292A"/>
    <w:rsid w:val="530733C6"/>
    <w:rsid w:val="530822C8"/>
    <w:rsid w:val="530E2D51"/>
    <w:rsid w:val="531B45E5"/>
    <w:rsid w:val="531F2B57"/>
    <w:rsid w:val="53283E1B"/>
    <w:rsid w:val="532A08B6"/>
    <w:rsid w:val="533575BC"/>
    <w:rsid w:val="53400FA2"/>
    <w:rsid w:val="53446A14"/>
    <w:rsid w:val="53462EAB"/>
    <w:rsid w:val="535203C4"/>
    <w:rsid w:val="536F39E6"/>
    <w:rsid w:val="53707DDE"/>
    <w:rsid w:val="53766C2E"/>
    <w:rsid w:val="53793BA9"/>
    <w:rsid w:val="53862B7D"/>
    <w:rsid w:val="5389049C"/>
    <w:rsid w:val="538B5189"/>
    <w:rsid w:val="53925D40"/>
    <w:rsid w:val="53A257C3"/>
    <w:rsid w:val="53AD3AFA"/>
    <w:rsid w:val="53B2385F"/>
    <w:rsid w:val="53B44B9D"/>
    <w:rsid w:val="53B953E8"/>
    <w:rsid w:val="53BA19E0"/>
    <w:rsid w:val="53BC1E9D"/>
    <w:rsid w:val="53C31A05"/>
    <w:rsid w:val="53E8652B"/>
    <w:rsid w:val="53EB486A"/>
    <w:rsid w:val="53EB57D0"/>
    <w:rsid w:val="53EE032C"/>
    <w:rsid w:val="53EE67E9"/>
    <w:rsid w:val="53F47B4C"/>
    <w:rsid w:val="53FD1C03"/>
    <w:rsid w:val="540817F6"/>
    <w:rsid w:val="540867EC"/>
    <w:rsid w:val="540A1D57"/>
    <w:rsid w:val="541170FC"/>
    <w:rsid w:val="541F6411"/>
    <w:rsid w:val="543865A6"/>
    <w:rsid w:val="54395FD3"/>
    <w:rsid w:val="543B3FAB"/>
    <w:rsid w:val="543F413B"/>
    <w:rsid w:val="54591CDE"/>
    <w:rsid w:val="545D40B9"/>
    <w:rsid w:val="54603CBE"/>
    <w:rsid w:val="54625354"/>
    <w:rsid w:val="546803B2"/>
    <w:rsid w:val="546C5AA8"/>
    <w:rsid w:val="54731165"/>
    <w:rsid w:val="547B43F6"/>
    <w:rsid w:val="547F3EAC"/>
    <w:rsid w:val="54886D3A"/>
    <w:rsid w:val="548B1623"/>
    <w:rsid w:val="549D1275"/>
    <w:rsid w:val="54A12E7B"/>
    <w:rsid w:val="54A72E72"/>
    <w:rsid w:val="54A95769"/>
    <w:rsid w:val="54AB70F0"/>
    <w:rsid w:val="54BA723D"/>
    <w:rsid w:val="54BB5167"/>
    <w:rsid w:val="54C52422"/>
    <w:rsid w:val="54CD5B29"/>
    <w:rsid w:val="54CF7BFB"/>
    <w:rsid w:val="54D06235"/>
    <w:rsid w:val="54E83276"/>
    <w:rsid w:val="54E87198"/>
    <w:rsid w:val="54F77FD6"/>
    <w:rsid w:val="550D5705"/>
    <w:rsid w:val="551534A6"/>
    <w:rsid w:val="5527117D"/>
    <w:rsid w:val="55276C44"/>
    <w:rsid w:val="552B27A5"/>
    <w:rsid w:val="552B7848"/>
    <w:rsid w:val="552E38CC"/>
    <w:rsid w:val="55381ED8"/>
    <w:rsid w:val="554219EC"/>
    <w:rsid w:val="555C7B5A"/>
    <w:rsid w:val="558008FF"/>
    <w:rsid w:val="5584155C"/>
    <w:rsid w:val="55854A5F"/>
    <w:rsid w:val="558B2E01"/>
    <w:rsid w:val="558F4F5B"/>
    <w:rsid w:val="55942252"/>
    <w:rsid w:val="55AB5B98"/>
    <w:rsid w:val="55AF4167"/>
    <w:rsid w:val="55AF56B9"/>
    <w:rsid w:val="55B766BB"/>
    <w:rsid w:val="55BE59B9"/>
    <w:rsid w:val="55C16B84"/>
    <w:rsid w:val="55CA2667"/>
    <w:rsid w:val="55D4424E"/>
    <w:rsid w:val="55DC1983"/>
    <w:rsid w:val="55DD25E4"/>
    <w:rsid w:val="55DD2EEF"/>
    <w:rsid w:val="55E761AC"/>
    <w:rsid w:val="55EC1E85"/>
    <w:rsid w:val="55EC2897"/>
    <w:rsid w:val="55EF4EF0"/>
    <w:rsid w:val="55F12BAA"/>
    <w:rsid w:val="55FC5FDD"/>
    <w:rsid w:val="56063430"/>
    <w:rsid w:val="56075ED2"/>
    <w:rsid w:val="560C1BDA"/>
    <w:rsid w:val="560C4938"/>
    <w:rsid w:val="5610333E"/>
    <w:rsid w:val="56186861"/>
    <w:rsid w:val="562035D8"/>
    <w:rsid w:val="56215914"/>
    <w:rsid w:val="56291477"/>
    <w:rsid w:val="56473C9D"/>
    <w:rsid w:val="5652511E"/>
    <w:rsid w:val="5654367C"/>
    <w:rsid w:val="56543A0D"/>
    <w:rsid w:val="566A0555"/>
    <w:rsid w:val="566B50BC"/>
    <w:rsid w:val="566E03A2"/>
    <w:rsid w:val="566F6BDB"/>
    <w:rsid w:val="56775832"/>
    <w:rsid w:val="567944B1"/>
    <w:rsid w:val="56873FE5"/>
    <w:rsid w:val="568A597A"/>
    <w:rsid w:val="56902DE6"/>
    <w:rsid w:val="5696489C"/>
    <w:rsid w:val="569B0765"/>
    <w:rsid w:val="56AD7886"/>
    <w:rsid w:val="56AE4533"/>
    <w:rsid w:val="56C26112"/>
    <w:rsid w:val="56C31EE8"/>
    <w:rsid w:val="56C440E6"/>
    <w:rsid w:val="56C53855"/>
    <w:rsid w:val="56E11498"/>
    <w:rsid w:val="56E51CB6"/>
    <w:rsid w:val="56E755A0"/>
    <w:rsid w:val="56EE4F2B"/>
    <w:rsid w:val="56F37D3E"/>
    <w:rsid w:val="56F473C0"/>
    <w:rsid w:val="56FF3200"/>
    <w:rsid w:val="57093DD5"/>
    <w:rsid w:val="570B5CA3"/>
    <w:rsid w:val="570B6550"/>
    <w:rsid w:val="571C6075"/>
    <w:rsid w:val="571F2772"/>
    <w:rsid w:val="572F64A8"/>
    <w:rsid w:val="57370BA2"/>
    <w:rsid w:val="573E5328"/>
    <w:rsid w:val="574E3416"/>
    <w:rsid w:val="57522A51"/>
    <w:rsid w:val="57541265"/>
    <w:rsid w:val="575A71A3"/>
    <w:rsid w:val="57653974"/>
    <w:rsid w:val="57696D21"/>
    <w:rsid w:val="577660AF"/>
    <w:rsid w:val="577D5302"/>
    <w:rsid w:val="578164CA"/>
    <w:rsid w:val="57842A5C"/>
    <w:rsid w:val="578871B0"/>
    <w:rsid w:val="578C6F2E"/>
    <w:rsid w:val="57903B49"/>
    <w:rsid w:val="5790774A"/>
    <w:rsid w:val="57A07DF7"/>
    <w:rsid w:val="57A4174D"/>
    <w:rsid w:val="57A85F9A"/>
    <w:rsid w:val="57BA117B"/>
    <w:rsid w:val="57C25403"/>
    <w:rsid w:val="57C70491"/>
    <w:rsid w:val="57D064D3"/>
    <w:rsid w:val="57D41D25"/>
    <w:rsid w:val="57D5325C"/>
    <w:rsid w:val="57DD2307"/>
    <w:rsid w:val="57DE28CC"/>
    <w:rsid w:val="57DF5F8B"/>
    <w:rsid w:val="57E31A40"/>
    <w:rsid w:val="57E31EB4"/>
    <w:rsid w:val="57E809C6"/>
    <w:rsid w:val="57EB194A"/>
    <w:rsid w:val="57F325DA"/>
    <w:rsid w:val="57F563D4"/>
    <w:rsid w:val="57FA4163"/>
    <w:rsid w:val="580716CC"/>
    <w:rsid w:val="580F1D61"/>
    <w:rsid w:val="58113D88"/>
    <w:rsid w:val="58135642"/>
    <w:rsid w:val="581771D9"/>
    <w:rsid w:val="58220A26"/>
    <w:rsid w:val="58221AA4"/>
    <w:rsid w:val="5825223B"/>
    <w:rsid w:val="58254A6F"/>
    <w:rsid w:val="582662AC"/>
    <w:rsid w:val="582A1D19"/>
    <w:rsid w:val="582C00E8"/>
    <w:rsid w:val="583C50C3"/>
    <w:rsid w:val="5841114C"/>
    <w:rsid w:val="5844212F"/>
    <w:rsid w:val="58492451"/>
    <w:rsid w:val="58510290"/>
    <w:rsid w:val="58530F63"/>
    <w:rsid w:val="58610739"/>
    <w:rsid w:val="58650579"/>
    <w:rsid w:val="586830DB"/>
    <w:rsid w:val="58743E2D"/>
    <w:rsid w:val="58746535"/>
    <w:rsid w:val="587518AF"/>
    <w:rsid w:val="588834ED"/>
    <w:rsid w:val="589966DD"/>
    <w:rsid w:val="589E6F58"/>
    <w:rsid w:val="58A96BA9"/>
    <w:rsid w:val="58B30206"/>
    <w:rsid w:val="58B91125"/>
    <w:rsid w:val="58BE7724"/>
    <w:rsid w:val="58C2491A"/>
    <w:rsid w:val="58C64CF3"/>
    <w:rsid w:val="58CB3B78"/>
    <w:rsid w:val="58D46B03"/>
    <w:rsid w:val="58D54141"/>
    <w:rsid w:val="58DC725C"/>
    <w:rsid w:val="58E26635"/>
    <w:rsid w:val="58FB5131"/>
    <w:rsid w:val="58FB5992"/>
    <w:rsid w:val="59002C4D"/>
    <w:rsid w:val="5906339C"/>
    <w:rsid w:val="591C3C15"/>
    <w:rsid w:val="59232C0B"/>
    <w:rsid w:val="5936365C"/>
    <w:rsid w:val="594069F9"/>
    <w:rsid w:val="594168FC"/>
    <w:rsid w:val="59462B10"/>
    <w:rsid w:val="59481887"/>
    <w:rsid w:val="594A21F7"/>
    <w:rsid w:val="594D06B7"/>
    <w:rsid w:val="595953A4"/>
    <w:rsid w:val="595F72AE"/>
    <w:rsid w:val="59625FD0"/>
    <w:rsid w:val="59653F16"/>
    <w:rsid w:val="5967519C"/>
    <w:rsid w:val="597C09BD"/>
    <w:rsid w:val="597C2E5F"/>
    <w:rsid w:val="597F2EDB"/>
    <w:rsid w:val="598B3EF7"/>
    <w:rsid w:val="59923835"/>
    <w:rsid w:val="59957788"/>
    <w:rsid w:val="59967408"/>
    <w:rsid w:val="59972BFB"/>
    <w:rsid w:val="59A31F8A"/>
    <w:rsid w:val="59A4556D"/>
    <w:rsid w:val="59A72E55"/>
    <w:rsid w:val="59A86175"/>
    <w:rsid w:val="59AE48EF"/>
    <w:rsid w:val="59AF21A6"/>
    <w:rsid w:val="59C07B35"/>
    <w:rsid w:val="59CE0EBE"/>
    <w:rsid w:val="59D25A7A"/>
    <w:rsid w:val="59EF227E"/>
    <w:rsid w:val="59F27EAB"/>
    <w:rsid w:val="59F66527"/>
    <w:rsid w:val="5A075ABF"/>
    <w:rsid w:val="5A0B73C6"/>
    <w:rsid w:val="5A20736C"/>
    <w:rsid w:val="5A3522A7"/>
    <w:rsid w:val="5A361544"/>
    <w:rsid w:val="5A3D107F"/>
    <w:rsid w:val="5A441CD8"/>
    <w:rsid w:val="5A507EBB"/>
    <w:rsid w:val="5A514ACC"/>
    <w:rsid w:val="5A654C66"/>
    <w:rsid w:val="5A673A27"/>
    <w:rsid w:val="5A6B4DDB"/>
    <w:rsid w:val="5A6C732C"/>
    <w:rsid w:val="5A6D76C0"/>
    <w:rsid w:val="5A7124E5"/>
    <w:rsid w:val="5A723A0D"/>
    <w:rsid w:val="5A743572"/>
    <w:rsid w:val="5A754630"/>
    <w:rsid w:val="5A762255"/>
    <w:rsid w:val="5A7B4B89"/>
    <w:rsid w:val="5A7F2EA6"/>
    <w:rsid w:val="5A801E9C"/>
    <w:rsid w:val="5A82610B"/>
    <w:rsid w:val="5A8557D0"/>
    <w:rsid w:val="5A8A02A1"/>
    <w:rsid w:val="5A8B4D93"/>
    <w:rsid w:val="5A8D703E"/>
    <w:rsid w:val="5A8E5C59"/>
    <w:rsid w:val="5A9668E9"/>
    <w:rsid w:val="5A9D621A"/>
    <w:rsid w:val="5A9E21B8"/>
    <w:rsid w:val="5AA62E48"/>
    <w:rsid w:val="5AA71AD4"/>
    <w:rsid w:val="5AB16C5B"/>
    <w:rsid w:val="5AB17106"/>
    <w:rsid w:val="5AB55661"/>
    <w:rsid w:val="5AB865E5"/>
    <w:rsid w:val="5AC07A83"/>
    <w:rsid w:val="5ACF40CD"/>
    <w:rsid w:val="5AD419D8"/>
    <w:rsid w:val="5AD9504A"/>
    <w:rsid w:val="5ADB3C49"/>
    <w:rsid w:val="5AEC1045"/>
    <w:rsid w:val="5B0856E7"/>
    <w:rsid w:val="5B0A2ABB"/>
    <w:rsid w:val="5B1521C4"/>
    <w:rsid w:val="5B170B81"/>
    <w:rsid w:val="5B191B02"/>
    <w:rsid w:val="5B215F8B"/>
    <w:rsid w:val="5B22788A"/>
    <w:rsid w:val="5B266C19"/>
    <w:rsid w:val="5B2A30A1"/>
    <w:rsid w:val="5B2E7322"/>
    <w:rsid w:val="5B41697B"/>
    <w:rsid w:val="5B417443"/>
    <w:rsid w:val="5B4D018A"/>
    <w:rsid w:val="5B5150EA"/>
    <w:rsid w:val="5B5309E2"/>
    <w:rsid w:val="5B540D70"/>
    <w:rsid w:val="5B5C261B"/>
    <w:rsid w:val="5B6155CF"/>
    <w:rsid w:val="5B6E700E"/>
    <w:rsid w:val="5B6F0B4A"/>
    <w:rsid w:val="5B707739"/>
    <w:rsid w:val="5B707F92"/>
    <w:rsid w:val="5B7A2057"/>
    <w:rsid w:val="5B7D1CC3"/>
    <w:rsid w:val="5B890824"/>
    <w:rsid w:val="5B8B6467"/>
    <w:rsid w:val="5B9163B2"/>
    <w:rsid w:val="5B9601D2"/>
    <w:rsid w:val="5BA65531"/>
    <w:rsid w:val="5BB6539F"/>
    <w:rsid w:val="5BB8191F"/>
    <w:rsid w:val="5BBD0D47"/>
    <w:rsid w:val="5BC94459"/>
    <w:rsid w:val="5BCE4EA4"/>
    <w:rsid w:val="5BD50871"/>
    <w:rsid w:val="5BD637EC"/>
    <w:rsid w:val="5BDC3CE4"/>
    <w:rsid w:val="5BDE5A43"/>
    <w:rsid w:val="5BE20E76"/>
    <w:rsid w:val="5BE4336C"/>
    <w:rsid w:val="5BE43388"/>
    <w:rsid w:val="5BE43BAD"/>
    <w:rsid w:val="5BE7005F"/>
    <w:rsid w:val="5BEB7F82"/>
    <w:rsid w:val="5BFA4D86"/>
    <w:rsid w:val="5BFB390D"/>
    <w:rsid w:val="5C0564DE"/>
    <w:rsid w:val="5C086316"/>
    <w:rsid w:val="5C143490"/>
    <w:rsid w:val="5C1742D4"/>
    <w:rsid w:val="5C1B7F5F"/>
    <w:rsid w:val="5C1C63A8"/>
    <w:rsid w:val="5C1D5966"/>
    <w:rsid w:val="5C260CEC"/>
    <w:rsid w:val="5C2F3144"/>
    <w:rsid w:val="5C34166A"/>
    <w:rsid w:val="5C3E512C"/>
    <w:rsid w:val="5C46622D"/>
    <w:rsid w:val="5C4A36B7"/>
    <w:rsid w:val="5C566D9D"/>
    <w:rsid w:val="5C8C5BE6"/>
    <w:rsid w:val="5C9522F3"/>
    <w:rsid w:val="5C9A0FE8"/>
    <w:rsid w:val="5CA7567B"/>
    <w:rsid w:val="5CA95F25"/>
    <w:rsid w:val="5CAA0F94"/>
    <w:rsid w:val="5CAF0C9F"/>
    <w:rsid w:val="5CB159B8"/>
    <w:rsid w:val="5CBE34B8"/>
    <w:rsid w:val="5CD27BBA"/>
    <w:rsid w:val="5CD530DD"/>
    <w:rsid w:val="5CDD3C74"/>
    <w:rsid w:val="5CE536CF"/>
    <w:rsid w:val="5CEE4FB3"/>
    <w:rsid w:val="5D1154C0"/>
    <w:rsid w:val="5D124B5F"/>
    <w:rsid w:val="5D194E1F"/>
    <w:rsid w:val="5D230368"/>
    <w:rsid w:val="5D255730"/>
    <w:rsid w:val="5D2E6B06"/>
    <w:rsid w:val="5D351BC2"/>
    <w:rsid w:val="5D4E1B9E"/>
    <w:rsid w:val="5D5667E0"/>
    <w:rsid w:val="5D580881"/>
    <w:rsid w:val="5D741368"/>
    <w:rsid w:val="5D741D19"/>
    <w:rsid w:val="5D747763"/>
    <w:rsid w:val="5D7F1D13"/>
    <w:rsid w:val="5D814F78"/>
    <w:rsid w:val="5D851BFC"/>
    <w:rsid w:val="5D8F7302"/>
    <w:rsid w:val="5D934F9C"/>
    <w:rsid w:val="5D9F50EC"/>
    <w:rsid w:val="5DA13534"/>
    <w:rsid w:val="5DB217C6"/>
    <w:rsid w:val="5DB37F53"/>
    <w:rsid w:val="5DB5274B"/>
    <w:rsid w:val="5DB858CE"/>
    <w:rsid w:val="5DCA0B67"/>
    <w:rsid w:val="5DCB0E01"/>
    <w:rsid w:val="5DCB56EC"/>
    <w:rsid w:val="5DDF68CC"/>
    <w:rsid w:val="5DE7641D"/>
    <w:rsid w:val="5DEB4E62"/>
    <w:rsid w:val="5DF96429"/>
    <w:rsid w:val="5DFB20C7"/>
    <w:rsid w:val="5E0F62DC"/>
    <w:rsid w:val="5E1463C6"/>
    <w:rsid w:val="5E1B3CF6"/>
    <w:rsid w:val="5E1E6518"/>
    <w:rsid w:val="5E281F05"/>
    <w:rsid w:val="5E3E4C2D"/>
    <w:rsid w:val="5E427C7C"/>
    <w:rsid w:val="5E4B3F43"/>
    <w:rsid w:val="5E4B7A1D"/>
    <w:rsid w:val="5E50050F"/>
    <w:rsid w:val="5E50327E"/>
    <w:rsid w:val="5E573F03"/>
    <w:rsid w:val="5E583259"/>
    <w:rsid w:val="5E5F7360"/>
    <w:rsid w:val="5E6141E5"/>
    <w:rsid w:val="5E68591D"/>
    <w:rsid w:val="5E695BAD"/>
    <w:rsid w:val="5E6A785A"/>
    <w:rsid w:val="5E6D40F8"/>
    <w:rsid w:val="5E7113FB"/>
    <w:rsid w:val="5E7A6E94"/>
    <w:rsid w:val="5E7E7FA1"/>
    <w:rsid w:val="5E836364"/>
    <w:rsid w:val="5E8B3ED5"/>
    <w:rsid w:val="5E95785A"/>
    <w:rsid w:val="5E992D71"/>
    <w:rsid w:val="5E9D4C47"/>
    <w:rsid w:val="5EA5259F"/>
    <w:rsid w:val="5EA80A59"/>
    <w:rsid w:val="5EA83BE2"/>
    <w:rsid w:val="5EB71074"/>
    <w:rsid w:val="5EB92998"/>
    <w:rsid w:val="5EC37085"/>
    <w:rsid w:val="5ECE71CD"/>
    <w:rsid w:val="5EDA0D81"/>
    <w:rsid w:val="5EE46753"/>
    <w:rsid w:val="5EE7053E"/>
    <w:rsid w:val="5EE84B7D"/>
    <w:rsid w:val="5EEE06A0"/>
    <w:rsid w:val="5EF64E73"/>
    <w:rsid w:val="5EFB1793"/>
    <w:rsid w:val="5EFC1A9B"/>
    <w:rsid w:val="5EFC207D"/>
    <w:rsid w:val="5F0936DE"/>
    <w:rsid w:val="5F0B58BC"/>
    <w:rsid w:val="5F0E6419"/>
    <w:rsid w:val="5F136D43"/>
    <w:rsid w:val="5F145B8A"/>
    <w:rsid w:val="5F162475"/>
    <w:rsid w:val="5F27799E"/>
    <w:rsid w:val="5F2D7C61"/>
    <w:rsid w:val="5F321771"/>
    <w:rsid w:val="5F342B4B"/>
    <w:rsid w:val="5F3C7AD8"/>
    <w:rsid w:val="5F4A5A4D"/>
    <w:rsid w:val="5F4F2648"/>
    <w:rsid w:val="5F513E7E"/>
    <w:rsid w:val="5F517A27"/>
    <w:rsid w:val="5F574DB8"/>
    <w:rsid w:val="5F6A2287"/>
    <w:rsid w:val="5F766DCE"/>
    <w:rsid w:val="5F7A54F6"/>
    <w:rsid w:val="5F7D16C2"/>
    <w:rsid w:val="5F84198C"/>
    <w:rsid w:val="5F855492"/>
    <w:rsid w:val="5F892553"/>
    <w:rsid w:val="5F8A6E4E"/>
    <w:rsid w:val="5F901FF5"/>
    <w:rsid w:val="5F930CBD"/>
    <w:rsid w:val="5F932D9C"/>
    <w:rsid w:val="5F9A7ADA"/>
    <w:rsid w:val="5F9B68D2"/>
    <w:rsid w:val="5F9F571F"/>
    <w:rsid w:val="5FA34099"/>
    <w:rsid w:val="5FAE5D89"/>
    <w:rsid w:val="5FB75393"/>
    <w:rsid w:val="5FBE2405"/>
    <w:rsid w:val="5FE26276"/>
    <w:rsid w:val="5FE926EA"/>
    <w:rsid w:val="5FF17AF7"/>
    <w:rsid w:val="5FF351F8"/>
    <w:rsid w:val="5FF63F7F"/>
    <w:rsid w:val="5FFB5E88"/>
    <w:rsid w:val="5FFC3909"/>
    <w:rsid w:val="60040D16"/>
    <w:rsid w:val="60174CD8"/>
    <w:rsid w:val="60457581"/>
    <w:rsid w:val="6046706E"/>
    <w:rsid w:val="60557755"/>
    <w:rsid w:val="606502C0"/>
    <w:rsid w:val="60677354"/>
    <w:rsid w:val="606B1CE8"/>
    <w:rsid w:val="606D4EC2"/>
    <w:rsid w:val="607A5D05"/>
    <w:rsid w:val="60810482"/>
    <w:rsid w:val="609F0838"/>
    <w:rsid w:val="60A324F0"/>
    <w:rsid w:val="60A602FE"/>
    <w:rsid w:val="60A859A2"/>
    <w:rsid w:val="60A956D9"/>
    <w:rsid w:val="60AA5873"/>
    <w:rsid w:val="60AB29AA"/>
    <w:rsid w:val="60AE1239"/>
    <w:rsid w:val="60B2418B"/>
    <w:rsid w:val="60B51BCA"/>
    <w:rsid w:val="60BF1449"/>
    <w:rsid w:val="60C05BCF"/>
    <w:rsid w:val="60C06489"/>
    <w:rsid w:val="60E518B0"/>
    <w:rsid w:val="60F35F9B"/>
    <w:rsid w:val="60FA403C"/>
    <w:rsid w:val="60FE69AF"/>
    <w:rsid w:val="611A3A36"/>
    <w:rsid w:val="61292196"/>
    <w:rsid w:val="612E16FD"/>
    <w:rsid w:val="612E30FB"/>
    <w:rsid w:val="6138492E"/>
    <w:rsid w:val="613B3F51"/>
    <w:rsid w:val="613F521A"/>
    <w:rsid w:val="61440653"/>
    <w:rsid w:val="614668AF"/>
    <w:rsid w:val="61474825"/>
    <w:rsid w:val="6149253E"/>
    <w:rsid w:val="614C346F"/>
    <w:rsid w:val="614C6AAF"/>
    <w:rsid w:val="61537BD4"/>
    <w:rsid w:val="615B47A6"/>
    <w:rsid w:val="61615C49"/>
    <w:rsid w:val="61721107"/>
    <w:rsid w:val="61807C19"/>
    <w:rsid w:val="6183209E"/>
    <w:rsid w:val="6185598F"/>
    <w:rsid w:val="6187560F"/>
    <w:rsid w:val="61A6014E"/>
    <w:rsid w:val="61BB6E1B"/>
    <w:rsid w:val="61BF0FEC"/>
    <w:rsid w:val="61C73861"/>
    <w:rsid w:val="61D14C55"/>
    <w:rsid w:val="61D42873"/>
    <w:rsid w:val="61D60C11"/>
    <w:rsid w:val="61D63921"/>
    <w:rsid w:val="61E07B71"/>
    <w:rsid w:val="61EA6C19"/>
    <w:rsid w:val="61FF062A"/>
    <w:rsid w:val="620313F6"/>
    <w:rsid w:val="6208538C"/>
    <w:rsid w:val="620B043D"/>
    <w:rsid w:val="6210426E"/>
    <w:rsid w:val="62132500"/>
    <w:rsid w:val="622532CA"/>
    <w:rsid w:val="62270D05"/>
    <w:rsid w:val="62424519"/>
    <w:rsid w:val="62461BF2"/>
    <w:rsid w:val="62555AB5"/>
    <w:rsid w:val="625C216F"/>
    <w:rsid w:val="625D0EEC"/>
    <w:rsid w:val="62710E24"/>
    <w:rsid w:val="62756FB7"/>
    <w:rsid w:val="62853940"/>
    <w:rsid w:val="629D7EE8"/>
    <w:rsid w:val="62A0396C"/>
    <w:rsid w:val="62A86D6B"/>
    <w:rsid w:val="62AC2526"/>
    <w:rsid w:val="62AE5AB8"/>
    <w:rsid w:val="62B13DF7"/>
    <w:rsid w:val="62BD5E85"/>
    <w:rsid w:val="62C4089A"/>
    <w:rsid w:val="62CD1205"/>
    <w:rsid w:val="62DF6342"/>
    <w:rsid w:val="62E4334D"/>
    <w:rsid w:val="62E7507D"/>
    <w:rsid w:val="62F67597"/>
    <w:rsid w:val="6300220E"/>
    <w:rsid w:val="63076D84"/>
    <w:rsid w:val="630B100E"/>
    <w:rsid w:val="630C0B5F"/>
    <w:rsid w:val="630C34D0"/>
    <w:rsid w:val="630F1C12"/>
    <w:rsid w:val="63107694"/>
    <w:rsid w:val="6311026C"/>
    <w:rsid w:val="631A3D47"/>
    <w:rsid w:val="631C1CCA"/>
    <w:rsid w:val="631D47AB"/>
    <w:rsid w:val="631D7EF7"/>
    <w:rsid w:val="63202703"/>
    <w:rsid w:val="632108A8"/>
    <w:rsid w:val="632366B5"/>
    <w:rsid w:val="63246B2B"/>
    <w:rsid w:val="632857BE"/>
    <w:rsid w:val="632E6C44"/>
    <w:rsid w:val="63360EFD"/>
    <w:rsid w:val="63367212"/>
    <w:rsid w:val="633769A9"/>
    <w:rsid w:val="634F4AA2"/>
    <w:rsid w:val="63540FD1"/>
    <w:rsid w:val="635B3796"/>
    <w:rsid w:val="63642C78"/>
    <w:rsid w:val="636F7889"/>
    <w:rsid w:val="63783BC0"/>
    <w:rsid w:val="637970C3"/>
    <w:rsid w:val="63885145"/>
    <w:rsid w:val="6389747B"/>
    <w:rsid w:val="638E7F62"/>
    <w:rsid w:val="63920A21"/>
    <w:rsid w:val="639278A1"/>
    <w:rsid w:val="639578ED"/>
    <w:rsid w:val="63A36BE5"/>
    <w:rsid w:val="63A37C85"/>
    <w:rsid w:val="63B31E42"/>
    <w:rsid w:val="63C81D2A"/>
    <w:rsid w:val="63CD058D"/>
    <w:rsid w:val="63DD6B6E"/>
    <w:rsid w:val="63E279EC"/>
    <w:rsid w:val="63E5033D"/>
    <w:rsid w:val="63EC28AB"/>
    <w:rsid w:val="63F75B8A"/>
    <w:rsid w:val="64034678"/>
    <w:rsid w:val="641D6634"/>
    <w:rsid w:val="64203CB4"/>
    <w:rsid w:val="642C55AC"/>
    <w:rsid w:val="64312FEF"/>
    <w:rsid w:val="643C2982"/>
    <w:rsid w:val="644B25BC"/>
    <w:rsid w:val="64554A14"/>
    <w:rsid w:val="645A6D1B"/>
    <w:rsid w:val="645D6C5A"/>
    <w:rsid w:val="645E1BBE"/>
    <w:rsid w:val="646734C9"/>
    <w:rsid w:val="646A75FA"/>
    <w:rsid w:val="647460F0"/>
    <w:rsid w:val="64746F5B"/>
    <w:rsid w:val="64795CCB"/>
    <w:rsid w:val="647B6F75"/>
    <w:rsid w:val="647C37ED"/>
    <w:rsid w:val="647F6D16"/>
    <w:rsid w:val="64861088"/>
    <w:rsid w:val="64983C98"/>
    <w:rsid w:val="649A7CCE"/>
    <w:rsid w:val="649F75B2"/>
    <w:rsid w:val="64A173B0"/>
    <w:rsid w:val="64B300C5"/>
    <w:rsid w:val="64C642D8"/>
    <w:rsid w:val="64CD66F0"/>
    <w:rsid w:val="64CF69F7"/>
    <w:rsid w:val="64D969CA"/>
    <w:rsid w:val="64E9783C"/>
    <w:rsid w:val="64EB1866"/>
    <w:rsid w:val="64EB7DD2"/>
    <w:rsid w:val="64F05C14"/>
    <w:rsid w:val="64F702F2"/>
    <w:rsid w:val="65012665"/>
    <w:rsid w:val="65071D4D"/>
    <w:rsid w:val="65196933"/>
    <w:rsid w:val="6524077D"/>
    <w:rsid w:val="65273CA7"/>
    <w:rsid w:val="65287A29"/>
    <w:rsid w:val="6537436C"/>
    <w:rsid w:val="653E6DC8"/>
    <w:rsid w:val="654335A9"/>
    <w:rsid w:val="654805B8"/>
    <w:rsid w:val="654827B7"/>
    <w:rsid w:val="654A5B17"/>
    <w:rsid w:val="655015A6"/>
    <w:rsid w:val="655E1155"/>
    <w:rsid w:val="655F4773"/>
    <w:rsid w:val="656A698B"/>
    <w:rsid w:val="65711FE7"/>
    <w:rsid w:val="65735CB4"/>
    <w:rsid w:val="657E0A92"/>
    <w:rsid w:val="657E2C91"/>
    <w:rsid w:val="65806194"/>
    <w:rsid w:val="658B4525"/>
    <w:rsid w:val="658F1A56"/>
    <w:rsid w:val="6595132A"/>
    <w:rsid w:val="659970BE"/>
    <w:rsid w:val="659A6D3E"/>
    <w:rsid w:val="659C6640"/>
    <w:rsid w:val="65A240BE"/>
    <w:rsid w:val="65A273A9"/>
    <w:rsid w:val="65AD59E5"/>
    <w:rsid w:val="65AE37E0"/>
    <w:rsid w:val="65AF55B5"/>
    <w:rsid w:val="65B7275D"/>
    <w:rsid w:val="65C14F7F"/>
    <w:rsid w:val="65C77271"/>
    <w:rsid w:val="65CA3DC9"/>
    <w:rsid w:val="65CB5A52"/>
    <w:rsid w:val="65D029CD"/>
    <w:rsid w:val="65E70F67"/>
    <w:rsid w:val="65F61BE1"/>
    <w:rsid w:val="6607566E"/>
    <w:rsid w:val="660A2875"/>
    <w:rsid w:val="66141D57"/>
    <w:rsid w:val="66195DC1"/>
    <w:rsid w:val="661C0213"/>
    <w:rsid w:val="662621A5"/>
    <w:rsid w:val="66286B79"/>
    <w:rsid w:val="663063EC"/>
    <w:rsid w:val="66306F43"/>
    <w:rsid w:val="663701C7"/>
    <w:rsid w:val="66393280"/>
    <w:rsid w:val="663B46C9"/>
    <w:rsid w:val="663E403B"/>
    <w:rsid w:val="664107D0"/>
    <w:rsid w:val="66482F2F"/>
    <w:rsid w:val="664A6EE1"/>
    <w:rsid w:val="664D06EE"/>
    <w:rsid w:val="665265F4"/>
    <w:rsid w:val="665E264A"/>
    <w:rsid w:val="66622060"/>
    <w:rsid w:val="667F2494"/>
    <w:rsid w:val="66823534"/>
    <w:rsid w:val="66855930"/>
    <w:rsid w:val="66886BB0"/>
    <w:rsid w:val="66891316"/>
    <w:rsid w:val="669C3121"/>
    <w:rsid w:val="66A66BBF"/>
    <w:rsid w:val="66A87C39"/>
    <w:rsid w:val="66A97B93"/>
    <w:rsid w:val="66AB50FD"/>
    <w:rsid w:val="66AF2B2C"/>
    <w:rsid w:val="66B063C6"/>
    <w:rsid w:val="66B50A56"/>
    <w:rsid w:val="66BA5799"/>
    <w:rsid w:val="66BE141F"/>
    <w:rsid w:val="66C21851"/>
    <w:rsid w:val="66C83F2C"/>
    <w:rsid w:val="66C91D89"/>
    <w:rsid w:val="66C944E4"/>
    <w:rsid w:val="66CB4EB1"/>
    <w:rsid w:val="66D218B6"/>
    <w:rsid w:val="66DC2453"/>
    <w:rsid w:val="66DE60D0"/>
    <w:rsid w:val="66E042B8"/>
    <w:rsid w:val="66F36075"/>
    <w:rsid w:val="66F63116"/>
    <w:rsid w:val="66F77DAD"/>
    <w:rsid w:val="66F944D0"/>
    <w:rsid w:val="670354A0"/>
    <w:rsid w:val="67046310"/>
    <w:rsid w:val="67232EAB"/>
    <w:rsid w:val="672833FF"/>
    <w:rsid w:val="6731708C"/>
    <w:rsid w:val="673E03B0"/>
    <w:rsid w:val="673E43E2"/>
    <w:rsid w:val="67436BCB"/>
    <w:rsid w:val="674647FB"/>
    <w:rsid w:val="675E64F5"/>
    <w:rsid w:val="676D7056"/>
    <w:rsid w:val="6772565E"/>
    <w:rsid w:val="67726944"/>
    <w:rsid w:val="678B478B"/>
    <w:rsid w:val="67961AD5"/>
    <w:rsid w:val="679D7D9D"/>
    <w:rsid w:val="679F3F90"/>
    <w:rsid w:val="67A91574"/>
    <w:rsid w:val="67AA49E9"/>
    <w:rsid w:val="67B84A87"/>
    <w:rsid w:val="67C36D33"/>
    <w:rsid w:val="67D61EEB"/>
    <w:rsid w:val="67D70BD0"/>
    <w:rsid w:val="67D75779"/>
    <w:rsid w:val="67E36AB5"/>
    <w:rsid w:val="67E63CFA"/>
    <w:rsid w:val="67E967D4"/>
    <w:rsid w:val="67EA1DE2"/>
    <w:rsid w:val="67F419F8"/>
    <w:rsid w:val="67F51F5D"/>
    <w:rsid w:val="67FD204D"/>
    <w:rsid w:val="67FF19F0"/>
    <w:rsid w:val="680538CC"/>
    <w:rsid w:val="68112FCA"/>
    <w:rsid w:val="681D485E"/>
    <w:rsid w:val="68305A7D"/>
    <w:rsid w:val="6836320A"/>
    <w:rsid w:val="6839361B"/>
    <w:rsid w:val="685448E5"/>
    <w:rsid w:val="685A52F7"/>
    <w:rsid w:val="686F32ED"/>
    <w:rsid w:val="68760F93"/>
    <w:rsid w:val="68763CFB"/>
    <w:rsid w:val="68775B46"/>
    <w:rsid w:val="687F107F"/>
    <w:rsid w:val="688B6E45"/>
    <w:rsid w:val="68A128B9"/>
    <w:rsid w:val="68A9092E"/>
    <w:rsid w:val="68A94442"/>
    <w:rsid w:val="68AB1911"/>
    <w:rsid w:val="68B04D4E"/>
    <w:rsid w:val="68CC74D0"/>
    <w:rsid w:val="68D4658B"/>
    <w:rsid w:val="68DC5DC1"/>
    <w:rsid w:val="68DD058C"/>
    <w:rsid w:val="68E301F6"/>
    <w:rsid w:val="68E80162"/>
    <w:rsid w:val="68E84B74"/>
    <w:rsid w:val="68EE7135"/>
    <w:rsid w:val="68F00BC3"/>
    <w:rsid w:val="68F37058"/>
    <w:rsid w:val="68F632B3"/>
    <w:rsid w:val="68F71FC3"/>
    <w:rsid w:val="68F75363"/>
    <w:rsid w:val="68FC28A7"/>
    <w:rsid w:val="68FD5DF4"/>
    <w:rsid w:val="690300E6"/>
    <w:rsid w:val="69085A19"/>
    <w:rsid w:val="6910096E"/>
    <w:rsid w:val="6910501D"/>
    <w:rsid w:val="69143AF1"/>
    <w:rsid w:val="69187A6C"/>
    <w:rsid w:val="691C55AF"/>
    <w:rsid w:val="691E48E2"/>
    <w:rsid w:val="691F736D"/>
    <w:rsid w:val="69231B8D"/>
    <w:rsid w:val="69240F0E"/>
    <w:rsid w:val="692563EE"/>
    <w:rsid w:val="6928262E"/>
    <w:rsid w:val="69290213"/>
    <w:rsid w:val="692E15A4"/>
    <w:rsid w:val="692E211D"/>
    <w:rsid w:val="6943050E"/>
    <w:rsid w:val="6944683F"/>
    <w:rsid w:val="694C51A7"/>
    <w:rsid w:val="69514842"/>
    <w:rsid w:val="69514BDD"/>
    <w:rsid w:val="695B72C8"/>
    <w:rsid w:val="696F73EF"/>
    <w:rsid w:val="69725190"/>
    <w:rsid w:val="69785369"/>
    <w:rsid w:val="69811F27"/>
    <w:rsid w:val="69833994"/>
    <w:rsid w:val="69B06F50"/>
    <w:rsid w:val="69C27360"/>
    <w:rsid w:val="69CA2915"/>
    <w:rsid w:val="69D4612E"/>
    <w:rsid w:val="69D9569F"/>
    <w:rsid w:val="69F02BD7"/>
    <w:rsid w:val="69FD72F2"/>
    <w:rsid w:val="6A000F4A"/>
    <w:rsid w:val="6A0158C8"/>
    <w:rsid w:val="6A0C20B6"/>
    <w:rsid w:val="6A11270F"/>
    <w:rsid w:val="6A2E3715"/>
    <w:rsid w:val="6A3001E9"/>
    <w:rsid w:val="6A392E07"/>
    <w:rsid w:val="6A41142C"/>
    <w:rsid w:val="6A48250B"/>
    <w:rsid w:val="6A5D6ABC"/>
    <w:rsid w:val="6A630CA5"/>
    <w:rsid w:val="6A644718"/>
    <w:rsid w:val="6A6B0DD6"/>
    <w:rsid w:val="6A722867"/>
    <w:rsid w:val="6A767EB5"/>
    <w:rsid w:val="6A827D6A"/>
    <w:rsid w:val="6A9553FE"/>
    <w:rsid w:val="6A987829"/>
    <w:rsid w:val="6AAB290E"/>
    <w:rsid w:val="6AB77240"/>
    <w:rsid w:val="6ABC5FEF"/>
    <w:rsid w:val="6ABE1C14"/>
    <w:rsid w:val="6AC30E38"/>
    <w:rsid w:val="6AC34708"/>
    <w:rsid w:val="6AD47BDE"/>
    <w:rsid w:val="6AE901F4"/>
    <w:rsid w:val="6AEA558F"/>
    <w:rsid w:val="6AF13863"/>
    <w:rsid w:val="6B0F0100"/>
    <w:rsid w:val="6B1531EA"/>
    <w:rsid w:val="6B153636"/>
    <w:rsid w:val="6B2028CD"/>
    <w:rsid w:val="6B2335D0"/>
    <w:rsid w:val="6B2370D5"/>
    <w:rsid w:val="6B2B4A32"/>
    <w:rsid w:val="6B2F446D"/>
    <w:rsid w:val="6B3660EF"/>
    <w:rsid w:val="6B3816B9"/>
    <w:rsid w:val="6B45236E"/>
    <w:rsid w:val="6B47278C"/>
    <w:rsid w:val="6B570F9E"/>
    <w:rsid w:val="6B5A511C"/>
    <w:rsid w:val="6B6E044D"/>
    <w:rsid w:val="6B6E3CD1"/>
    <w:rsid w:val="6B704D44"/>
    <w:rsid w:val="6B7428A3"/>
    <w:rsid w:val="6B7A4A17"/>
    <w:rsid w:val="6B7E3F6B"/>
    <w:rsid w:val="6B7F1BF6"/>
    <w:rsid w:val="6B833C7A"/>
    <w:rsid w:val="6B9512FD"/>
    <w:rsid w:val="6B9B58F1"/>
    <w:rsid w:val="6BA73AAA"/>
    <w:rsid w:val="6BAB61B7"/>
    <w:rsid w:val="6BB554FE"/>
    <w:rsid w:val="6BB87BB7"/>
    <w:rsid w:val="6BC12EDC"/>
    <w:rsid w:val="6BD12C1C"/>
    <w:rsid w:val="6BD171B1"/>
    <w:rsid w:val="6BE23537"/>
    <w:rsid w:val="6BE76A97"/>
    <w:rsid w:val="6BF23772"/>
    <w:rsid w:val="6BF43FAF"/>
    <w:rsid w:val="6BFF4DC9"/>
    <w:rsid w:val="6C0568F0"/>
    <w:rsid w:val="6C1363EA"/>
    <w:rsid w:val="6C144D5C"/>
    <w:rsid w:val="6C2C10C2"/>
    <w:rsid w:val="6C2D2EFC"/>
    <w:rsid w:val="6C303D8F"/>
    <w:rsid w:val="6C3E480C"/>
    <w:rsid w:val="6C4504B1"/>
    <w:rsid w:val="6C4C46CE"/>
    <w:rsid w:val="6C5002D5"/>
    <w:rsid w:val="6C5361A3"/>
    <w:rsid w:val="6C5A7A8C"/>
    <w:rsid w:val="6C5B7B60"/>
    <w:rsid w:val="6C5C5DC2"/>
    <w:rsid w:val="6C625C88"/>
    <w:rsid w:val="6C6476E1"/>
    <w:rsid w:val="6C6860E7"/>
    <w:rsid w:val="6C83219C"/>
    <w:rsid w:val="6C850B5D"/>
    <w:rsid w:val="6C8A6F51"/>
    <w:rsid w:val="6C9012DA"/>
    <w:rsid w:val="6C951535"/>
    <w:rsid w:val="6C9803A4"/>
    <w:rsid w:val="6C983177"/>
    <w:rsid w:val="6CBE0F6B"/>
    <w:rsid w:val="6CC232FE"/>
    <w:rsid w:val="6CC85207"/>
    <w:rsid w:val="6CD53A52"/>
    <w:rsid w:val="6CD6290F"/>
    <w:rsid w:val="6CE279C1"/>
    <w:rsid w:val="6CE931BD"/>
    <w:rsid w:val="6CEB66C0"/>
    <w:rsid w:val="6CF21CBD"/>
    <w:rsid w:val="6CFC21DE"/>
    <w:rsid w:val="6CFE1E5E"/>
    <w:rsid w:val="6D1126BA"/>
    <w:rsid w:val="6D1C6D6A"/>
    <w:rsid w:val="6D1F7621"/>
    <w:rsid w:val="6D240E63"/>
    <w:rsid w:val="6D243939"/>
    <w:rsid w:val="6D24429C"/>
    <w:rsid w:val="6D3F7B52"/>
    <w:rsid w:val="6D447778"/>
    <w:rsid w:val="6D51283E"/>
    <w:rsid w:val="6D5311E2"/>
    <w:rsid w:val="6D620170"/>
    <w:rsid w:val="6D6E6B24"/>
    <w:rsid w:val="6D7A42CB"/>
    <w:rsid w:val="6D7D34CE"/>
    <w:rsid w:val="6D7F5273"/>
    <w:rsid w:val="6D84645E"/>
    <w:rsid w:val="6D870B88"/>
    <w:rsid w:val="6D8F1949"/>
    <w:rsid w:val="6D8F437E"/>
    <w:rsid w:val="6D990245"/>
    <w:rsid w:val="6D996D00"/>
    <w:rsid w:val="6D9C66ED"/>
    <w:rsid w:val="6D9F7468"/>
    <w:rsid w:val="6DA66DF3"/>
    <w:rsid w:val="6DA822F6"/>
    <w:rsid w:val="6DB039D2"/>
    <w:rsid w:val="6DB46943"/>
    <w:rsid w:val="6DBC1159"/>
    <w:rsid w:val="6DBF7C34"/>
    <w:rsid w:val="6DC62455"/>
    <w:rsid w:val="6DC8325A"/>
    <w:rsid w:val="6DCE2536"/>
    <w:rsid w:val="6DD7364C"/>
    <w:rsid w:val="6DE435DC"/>
    <w:rsid w:val="6DE568D8"/>
    <w:rsid w:val="6DEF6BC6"/>
    <w:rsid w:val="6DF439AD"/>
    <w:rsid w:val="6DF56BF1"/>
    <w:rsid w:val="6DF87AF7"/>
    <w:rsid w:val="6DFD4045"/>
    <w:rsid w:val="6E187783"/>
    <w:rsid w:val="6E2241BE"/>
    <w:rsid w:val="6E2A2CE7"/>
    <w:rsid w:val="6E2D166A"/>
    <w:rsid w:val="6E3114BC"/>
    <w:rsid w:val="6E337CDC"/>
    <w:rsid w:val="6E375EBF"/>
    <w:rsid w:val="6E3D27EA"/>
    <w:rsid w:val="6E3F5CED"/>
    <w:rsid w:val="6E401570"/>
    <w:rsid w:val="6E4B323A"/>
    <w:rsid w:val="6E59089C"/>
    <w:rsid w:val="6E5A40EE"/>
    <w:rsid w:val="6E616028"/>
    <w:rsid w:val="6E6404AB"/>
    <w:rsid w:val="6E671D27"/>
    <w:rsid w:val="6E6B6663"/>
    <w:rsid w:val="6E6B7E36"/>
    <w:rsid w:val="6E6D748B"/>
    <w:rsid w:val="6E7838C8"/>
    <w:rsid w:val="6E7D48F4"/>
    <w:rsid w:val="6E7E74E7"/>
    <w:rsid w:val="6E884625"/>
    <w:rsid w:val="6E8A13E0"/>
    <w:rsid w:val="6E9C16AF"/>
    <w:rsid w:val="6EAF1824"/>
    <w:rsid w:val="6EC54DDF"/>
    <w:rsid w:val="6EC640EA"/>
    <w:rsid w:val="6EC80523"/>
    <w:rsid w:val="6EDA2F38"/>
    <w:rsid w:val="6EDB24B2"/>
    <w:rsid w:val="6EE10B05"/>
    <w:rsid w:val="6EF44517"/>
    <w:rsid w:val="6EF45F35"/>
    <w:rsid w:val="6EFD52D0"/>
    <w:rsid w:val="6EFF4478"/>
    <w:rsid w:val="6F007406"/>
    <w:rsid w:val="6F042E75"/>
    <w:rsid w:val="6F0472BB"/>
    <w:rsid w:val="6F1063C6"/>
    <w:rsid w:val="6F206808"/>
    <w:rsid w:val="6F212723"/>
    <w:rsid w:val="6F380483"/>
    <w:rsid w:val="6F44559B"/>
    <w:rsid w:val="6F48033A"/>
    <w:rsid w:val="6F4A74A4"/>
    <w:rsid w:val="6F537CC8"/>
    <w:rsid w:val="6F5B37F7"/>
    <w:rsid w:val="6F5B3B07"/>
    <w:rsid w:val="6F6325CC"/>
    <w:rsid w:val="6F6B5670"/>
    <w:rsid w:val="6F6B79D9"/>
    <w:rsid w:val="6F755D6A"/>
    <w:rsid w:val="6F786CEE"/>
    <w:rsid w:val="6F7A7501"/>
    <w:rsid w:val="6F7F0FAA"/>
    <w:rsid w:val="6F891296"/>
    <w:rsid w:val="6F89280C"/>
    <w:rsid w:val="6F8A5576"/>
    <w:rsid w:val="6F8C2FFA"/>
    <w:rsid w:val="6F8E2CBB"/>
    <w:rsid w:val="6F9B51B3"/>
    <w:rsid w:val="6F9C6B77"/>
    <w:rsid w:val="6F9E6757"/>
    <w:rsid w:val="6FA177FD"/>
    <w:rsid w:val="6FAD23B4"/>
    <w:rsid w:val="6FAD5E72"/>
    <w:rsid w:val="6FB609FB"/>
    <w:rsid w:val="6FB8390B"/>
    <w:rsid w:val="6FC842FA"/>
    <w:rsid w:val="6FCD7A7D"/>
    <w:rsid w:val="6FD101F3"/>
    <w:rsid w:val="6FD128A2"/>
    <w:rsid w:val="6FD16484"/>
    <w:rsid w:val="6FE51C7D"/>
    <w:rsid w:val="6FE54985"/>
    <w:rsid w:val="6FE702CC"/>
    <w:rsid w:val="6FEC7554"/>
    <w:rsid w:val="6FF1283A"/>
    <w:rsid w:val="6FF2625F"/>
    <w:rsid w:val="70064819"/>
    <w:rsid w:val="70065659"/>
    <w:rsid w:val="700C6158"/>
    <w:rsid w:val="700C682E"/>
    <w:rsid w:val="70106680"/>
    <w:rsid w:val="70180DF6"/>
    <w:rsid w:val="70196878"/>
    <w:rsid w:val="701E7472"/>
    <w:rsid w:val="70267B3E"/>
    <w:rsid w:val="70335103"/>
    <w:rsid w:val="70335223"/>
    <w:rsid w:val="703F614D"/>
    <w:rsid w:val="70434414"/>
    <w:rsid w:val="70487260"/>
    <w:rsid w:val="704C253B"/>
    <w:rsid w:val="70550C5B"/>
    <w:rsid w:val="705D0266"/>
    <w:rsid w:val="705D34D6"/>
    <w:rsid w:val="705D393E"/>
    <w:rsid w:val="707662F1"/>
    <w:rsid w:val="707D659C"/>
    <w:rsid w:val="70953C43"/>
    <w:rsid w:val="70985552"/>
    <w:rsid w:val="70A43A00"/>
    <w:rsid w:val="70BB3E83"/>
    <w:rsid w:val="70C04A87"/>
    <w:rsid w:val="70D66C2B"/>
    <w:rsid w:val="70DD05C3"/>
    <w:rsid w:val="70DD65B6"/>
    <w:rsid w:val="70E00B73"/>
    <w:rsid w:val="70E85C4B"/>
    <w:rsid w:val="70F01550"/>
    <w:rsid w:val="70F1261F"/>
    <w:rsid w:val="70F32A25"/>
    <w:rsid w:val="70F41A5E"/>
    <w:rsid w:val="71010D74"/>
    <w:rsid w:val="710C5483"/>
    <w:rsid w:val="710E5E8B"/>
    <w:rsid w:val="71116E10"/>
    <w:rsid w:val="71117F90"/>
    <w:rsid w:val="712A7A44"/>
    <w:rsid w:val="712F63C0"/>
    <w:rsid w:val="71336FC4"/>
    <w:rsid w:val="713A60E6"/>
    <w:rsid w:val="713C6119"/>
    <w:rsid w:val="713F2DD7"/>
    <w:rsid w:val="71497177"/>
    <w:rsid w:val="71511DF8"/>
    <w:rsid w:val="715746EA"/>
    <w:rsid w:val="71622256"/>
    <w:rsid w:val="71645595"/>
    <w:rsid w:val="71657618"/>
    <w:rsid w:val="716A4F20"/>
    <w:rsid w:val="716D7700"/>
    <w:rsid w:val="717146BE"/>
    <w:rsid w:val="717C638C"/>
    <w:rsid w:val="718B36FA"/>
    <w:rsid w:val="718D0772"/>
    <w:rsid w:val="719B216D"/>
    <w:rsid w:val="719E3125"/>
    <w:rsid w:val="719E64BB"/>
    <w:rsid w:val="71B15F38"/>
    <w:rsid w:val="71B2022A"/>
    <w:rsid w:val="71B206D8"/>
    <w:rsid w:val="71B275F5"/>
    <w:rsid w:val="71B3571B"/>
    <w:rsid w:val="71B752EE"/>
    <w:rsid w:val="71BF242C"/>
    <w:rsid w:val="71CA07BD"/>
    <w:rsid w:val="71CB0D7D"/>
    <w:rsid w:val="71D027EA"/>
    <w:rsid w:val="71D55997"/>
    <w:rsid w:val="71D572CE"/>
    <w:rsid w:val="71E140BE"/>
    <w:rsid w:val="71E408AF"/>
    <w:rsid w:val="71E57BFF"/>
    <w:rsid w:val="71E7531D"/>
    <w:rsid w:val="71FA2CA1"/>
    <w:rsid w:val="720934EB"/>
    <w:rsid w:val="720D141A"/>
    <w:rsid w:val="720D4729"/>
    <w:rsid w:val="72106F1F"/>
    <w:rsid w:val="72141795"/>
    <w:rsid w:val="722C7282"/>
    <w:rsid w:val="723165C3"/>
    <w:rsid w:val="723959AF"/>
    <w:rsid w:val="72400874"/>
    <w:rsid w:val="724062B5"/>
    <w:rsid w:val="72427182"/>
    <w:rsid w:val="7243080B"/>
    <w:rsid w:val="72430F2C"/>
    <w:rsid w:val="7251779C"/>
    <w:rsid w:val="7256229D"/>
    <w:rsid w:val="725C42EA"/>
    <w:rsid w:val="725F0CB0"/>
    <w:rsid w:val="726436E6"/>
    <w:rsid w:val="72700C83"/>
    <w:rsid w:val="7270708A"/>
    <w:rsid w:val="727D679A"/>
    <w:rsid w:val="727E7403"/>
    <w:rsid w:val="7296248F"/>
    <w:rsid w:val="7298210F"/>
    <w:rsid w:val="729B79DD"/>
    <w:rsid w:val="72A154A1"/>
    <w:rsid w:val="72A542CF"/>
    <w:rsid w:val="72A62637"/>
    <w:rsid w:val="72B77140"/>
    <w:rsid w:val="72B90AD4"/>
    <w:rsid w:val="72B95EC7"/>
    <w:rsid w:val="72C06D52"/>
    <w:rsid w:val="72C4362F"/>
    <w:rsid w:val="72C928DE"/>
    <w:rsid w:val="72CE6D66"/>
    <w:rsid w:val="72D773DC"/>
    <w:rsid w:val="72D84E51"/>
    <w:rsid w:val="72E56D1C"/>
    <w:rsid w:val="72F67F2A"/>
    <w:rsid w:val="72F94E1F"/>
    <w:rsid w:val="72FE0BBA"/>
    <w:rsid w:val="72FF5D3E"/>
    <w:rsid w:val="73035041"/>
    <w:rsid w:val="730936C7"/>
    <w:rsid w:val="73121D6E"/>
    <w:rsid w:val="7312646D"/>
    <w:rsid w:val="73134C62"/>
    <w:rsid w:val="731474DA"/>
    <w:rsid w:val="731D375B"/>
    <w:rsid w:val="73266C96"/>
    <w:rsid w:val="732B70FF"/>
    <w:rsid w:val="732E4011"/>
    <w:rsid w:val="733224AE"/>
    <w:rsid w:val="733532BF"/>
    <w:rsid w:val="73422268"/>
    <w:rsid w:val="73426D24"/>
    <w:rsid w:val="735F0767"/>
    <w:rsid w:val="73645D7E"/>
    <w:rsid w:val="737372C4"/>
    <w:rsid w:val="737A6814"/>
    <w:rsid w:val="738E13A2"/>
    <w:rsid w:val="7393713E"/>
    <w:rsid w:val="739715DE"/>
    <w:rsid w:val="739D6139"/>
    <w:rsid w:val="739E3BBB"/>
    <w:rsid w:val="73A16271"/>
    <w:rsid w:val="73B02110"/>
    <w:rsid w:val="73B12315"/>
    <w:rsid w:val="73B91824"/>
    <w:rsid w:val="73BA4C9F"/>
    <w:rsid w:val="73C45716"/>
    <w:rsid w:val="73CE0E30"/>
    <w:rsid w:val="73D20B92"/>
    <w:rsid w:val="73DD5195"/>
    <w:rsid w:val="73DE2426"/>
    <w:rsid w:val="73E049C3"/>
    <w:rsid w:val="73E669A6"/>
    <w:rsid w:val="74044161"/>
    <w:rsid w:val="7409489E"/>
    <w:rsid w:val="740B5667"/>
    <w:rsid w:val="740C207E"/>
    <w:rsid w:val="74152900"/>
    <w:rsid w:val="74194164"/>
    <w:rsid w:val="7422142F"/>
    <w:rsid w:val="742D6B25"/>
    <w:rsid w:val="743C2C31"/>
    <w:rsid w:val="7440435F"/>
    <w:rsid w:val="74420A40"/>
    <w:rsid w:val="744446C4"/>
    <w:rsid w:val="744A0DD8"/>
    <w:rsid w:val="745C0BFD"/>
    <w:rsid w:val="74716F61"/>
    <w:rsid w:val="74806A55"/>
    <w:rsid w:val="74852401"/>
    <w:rsid w:val="74890423"/>
    <w:rsid w:val="748B003A"/>
    <w:rsid w:val="7494338D"/>
    <w:rsid w:val="7499086E"/>
    <w:rsid w:val="74994FF2"/>
    <w:rsid w:val="749A5CF7"/>
    <w:rsid w:val="74A774D2"/>
    <w:rsid w:val="74BA0C6B"/>
    <w:rsid w:val="74EA165E"/>
    <w:rsid w:val="74EE31EA"/>
    <w:rsid w:val="74F841F7"/>
    <w:rsid w:val="74F91AFE"/>
    <w:rsid w:val="74FC20C8"/>
    <w:rsid w:val="74FD0F42"/>
    <w:rsid w:val="74FE7A1D"/>
    <w:rsid w:val="75161FDD"/>
    <w:rsid w:val="75221C38"/>
    <w:rsid w:val="753019CD"/>
    <w:rsid w:val="75333D34"/>
    <w:rsid w:val="75404290"/>
    <w:rsid w:val="7546677D"/>
    <w:rsid w:val="754B2AC0"/>
    <w:rsid w:val="75510759"/>
    <w:rsid w:val="7556515E"/>
    <w:rsid w:val="75594E3A"/>
    <w:rsid w:val="756722BD"/>
    <w:rsid w:val="756F76B9"/>
    <w:rsid w:val="757031D9"/>
    <w:rsid w:val="75784746"/>
    <w:rsid w:val="757B01E3"/>
    <w:rsid w:val="757C7FD0"/>
    <w:rsid w:val="758075D4"/>
    <w:rsid w:val="75821CC1"/>
    <w:rsid w:val="75842DFC"/>
    <w:rsid w:val="758D465D"/>
    <w:rsid w:val="758D46EB"/>
    <w:rsid w:val="75937C8C"/>
    <w:rsid w:val="759C779B"/>
    <w:rsid w:val="75A6308C"/>
    <w:rsid w:val="75AA7CC1"/>
    <w:rsid w:val="75B579BD"/>
    <w:rsid w:val="75BE0722"/>
    <w:rsid w:val="75C332E5"/>
    <w:rsid w:val="75C42647"/>
    <w:rsid w:val="75C45F13"/>
    <w:rsid w:val="75D00657"/>
    <w:rsid w:val="75D23CAF"/>
    <w:rsid w:val="75EB6D71"/>
    <w:rsid w:val="75EF6E70"/>
    <w:rsid w:val="75FE5CA3"/>
    <w:rsid w:val="7603432A"/>
    <w:rsid w:val="760416B8"/>
    <w:rsid w:val="76075BC7"/>
    <w:rsid w:val="760A6332"/>
    <w:rsid w:val="76357F44"/>
    <w:rsid w:val="76375681"/>
    <w:rsid w:val="7638018B"/>
    <w:rsid w:val="763B2045"/>
    <w:rsid w:val="763D100B"/>
    <w:rsid w:val="763D3BEB"/>
    <w:rsid w:val="763D3EB9"/>
    <w:rsid w:val="76437D02"/>
    <w:rsid w:val="765120A6"/>
    <w:rsid w:val="766325D4"/>
    <w:rsid w:val="76732FA6"/>
    <w:rsid w:val="76787C8E"/>
    <w:rsid w:val="76812163"/>
    <w:rsid w:val="76866E81"/>
    <w:rsid w:val="769750A3"/>
    <w:rsid w:val="769B35A3"/>
    <w:rsid w:val="769C48A8"/>
    <w:rsid w:val="769D232A"/>
    <w:rsid w:val="76A07A2B"/>
    <w:rsid w:val="76A20C6A"/>
    <w:rsid w:val="76A9033B"/>
    <w:rsid w:val="76A9613C"/>
    <w:rsid w:val="76BF7D3D"/>
    <w:rsid w:val="76D7036B"/>
    <w:rsid w:val="76D82BBE"/>
    <w:rsid w:val="76E13D18"/>
    <w:rsid w:val="76E5271E"/>
    <w:rsid w:val="76EC529C"/>
    <w:rsid w:val="76F07C07"/>
    <w:rsid w:val="76FC7D28"/>
    <w:rsid w:val="76FF70B2"/>
    <w:rsid w:val="77016C25"/>
    <w:rsid w:val="770551D1"/>
    <w:rsid w:val="770D1F5C"/>
    <w:rsid w:val="771440C1"/>
    <w:rsid w:val="7717230F"/>
    <w:rsid w:val="771C1A7B"/>
    <w:rsid w:val="771E3231"/>
    <w:rsid w:val="771F0D9A"/>
    <w:rsid w:val="7724443B"/>
    <w:rsid w:val="77247924"/>
    <w:rsid w:val="77263187"/>
    <w:rsid w:val="772B1B20"/>
    <w:rsid w:val="772E19EB"/>
    <w:rsid w:val="775C3661"/>
    <w:rsid w:val="775F4529"/>
    <w:rsid w:val="776271B9"/>
    <w:rsid w:val="77634F3B"/>
    <w:rsid w:val="776A32DE"/>
    <w:rsid w:val="776C72B2"/>
    <w:rsid w:val="77735805"/>
    <w:rsid w:val="777506B6"/>
    <w:rsid w:val="777E1618"/>
    <w:rsid w:val="77815E20"/>
    <w:rsid w:val="77907953"/>
    <w:rsid w:val="7794703F"/>
    <w:rsid w:val="77BA39FB"/>
    <w:rsid w:val="77C5560F"/>
    <w:rsid w:val="77C72D11"/>
    <w:rsid w:val="77D1644C"/>
    <w:rsid w:val="77D62A56"/>
    <w:rsid w:val="77DE5C30"/>
    <w:rsid w:val="77E62733"/>
    <w:rsid w:val="77EE20B0"/>
    <w:rsid w:val="77F315D6"/>
    <w:rsid w:val="77F626F4"/>
    <w:rsid w:val="77F84B71"/>
    <w:rsid w:val="78000440"/>
    <w:rsid w:val="78096FFD"/>
    <w:rsid w:val="780B47B2"/>
    <w:rsid w:val="780F5737"/>
    <w:rsid w:val="781E371F"/>
    <w:rsid w:val="782765AD"/>
    <w:rsid w:val="78293DC3"/>
    <w:rsid w:val="782D2D9B"/>
    <w:rsid w:val="783842C9"/>
    <w:rsid w:val="785A227F"/>
    <w:rsid w:val="785D218D"/>
    <w:rsid w:val="786C0290"/>
    <w:rsid w:val="788D0042"/>
    <w:rsid w:val="788D1148"/>
    <w:rsid w:val="7899274E"/>
    <w:rsid w:val="789B7539"/>
    <w:rsid w:val="789F3FEF"/>
    <w:rsid w:val="78B227CF"/>
    <w:rsid w:val="78B5425B"/>
    <w:rsid w:val="78B64630"/>
    <w:rsid w:val="78B8009B"/>
    <w:rsid w:val="78B8567C"/>
    <w:rsid w:val="78B91684"/>
    <w:rsid w:val="78C0202A"/>
    <w:rsid w:val="78C86E1F"/>
    <w:rsid w:val="78D064C9"/>
    <w:rsid w:val="78D44148"/>
    <w:rsid w:val="78DA4C12"/>
    <w:rsid w:val="78DC4DD7"/>
    <w:rsid w:val="78E00FF5"/>
    <w:rsid w:val="78E43FE3"/>
    <w:rsid w:val="78E84A09"/>
    <w:rsid w:val="78E87686"/>
    <w:rsid w:val="78ED684E"/>
    <w:rsid w:val="78F05099"/>
    <w:rsid w:val="78F06113"/>
    <w:rsid w:val="78F07334"/>
    <w:rsid w:val="78F45D01"/>
    <w:rsid w:val="78F7615B"/>
    <w:rsid w:val="78FD2962"/>
    <w:rsid w:val="790241C6"/>
    <w:rsid w:val="790D027A"/>
    <w:rsid w:val="79106654"/>
    <w:rsid w:val="792078AF"/>
    <w:rsid w:val="792668B7"/>
    <w:rsid w:val="79284D7A"/>
    <w:rsid w:val="792F217B"/>
    <w:rsid w:val="79307089"/>
    <w:rsid w:val="793B0585"/>
    <w:rsid w:val="793C2C34"/>
    <w:rsid w:val="79464653"/>
    <w:rsid w:val="794F1FC8"/>
    <w:rsid w:val="79542BD5"/>
    <w:rsid w:val="795934A7"/>
    <w:rsid w:val="79667D61"/>
    <w:rsid w:val="796E05F6"/>
    <w:rsid w:val="79710B4E"/>
    <w:rsid w:val="7972490E"/>
    <w:rsid w:val="79821E8B"/>
    <w:rsid w:val="79830A68"/>
    <w:rsid w:val="798B23A6"/>
    <w:rsid w:val="798D349A"/>
    <w:rsid w:val="798E6DF9"/>
    <w:rsid w:val="798F6F60"/>
    <w:rsid w:val="79936B04"/>
    <w:rsid w:val="799A0ABF"/>
    <w:rsid w:val="799B610F"/>
    <w:rsid w:val="79A86542"/>
    <w:rsid w:val="79B160B4"/>
    <w:rsid w:val="79B35EAF"/>
    <w:rsid w:val="79B90F42"/>
    <w:rsid w:val="79C258B5"/>
    <w:rsid w:val="79D20A7A"/>
    <w:rsid w:val="79DA671D"/>
    <w:rsid w:val="79DC497A"/>
    <w:rsid w:val="79E03380"/>
    <w:rsid w:val="79E74F07"/>
    <w:rsid w:val="79EC33C3"/>
    <w:rsid w:val="79F94256"/>
    <w:rsid w:val="7A0138B5"/>
    <w:rsid w:val="7A081DA1"/>
    <w:rsid w:val="7A1C4DC7"/>
    <w:rsid w:val="7A202634"/>
    <w:rsid w:val="7A2F032C"/>
    <w:rsid w:val="7A3A078E"/>
    <w:rsid w:val="7A3B0217"/>
    <w:rsid w:val="7A3C5FCC"/>
    <w:rsid w:val="7A3F1373"/>
    <w:rsid w:val="7A446928"/>
    <w:rsid w:val="7A4C7BCA"/>
    <w:rsid w:val="7A4E35C8"/>
    <w:rsid w:val="7A510FC3"/>
    <w:rsid w:val="7A683EDB"/>
    <w:rsid w:val="7A6A713D"/>
    <w:rsid w:val="7A762F93"/>
    <w:rsid w:val="7A763D01"/>
    <w:rsid w:val="7A7D33B9"/>
    <w:rsid w:val="7A7D7D27"/>
    <w:rsid w:val="7A850292"/>
    <w:rsid w:val="7A991285"/>
    <w:rsid w:val="7AA768B7"/>
    <w:rsid w:val="7AAA129C"/>
    <w:rsid w:val="7AB2157C"/>
    <w:rsid w:val="7AB509FA"/>
    <w:rsid w:val="7AB674B0"/>
    <w:rsid w:val="7ABC39F7"/>
    <w:rsid w:val="7AC00121"/>
    <w:rsid w:val="7AC13DAF"/>
    <w:rsid w:val="7AC528C4"/>
    <w:rsid w:val="7AC770BB"/>
    <w:rsid w:val="7ACA3BF4"/>
    <w:rsid w:val="7AD40E37"/>
    <w:rsid w:val="7AD82A98"/>
    <w:rsid w:val="7ADB4516"/>
    <w:rsid w:val="7AE80992"/>
    <w:rsid w:val="7AE9752E"/>
    <w:rsid w:val="7AFD5155"/>
    <w:rsid w:val="7B0320BB"/>
    <w:rsid w:val="7B0B75EA"/>
    <w:rsid w:val="7B1633FD"/>
    <w:rsid w:val="7B1703D8"/>
    <w:rsid w:val="7B1E0809"/>
    <w:rsid w:val="7B1E76B6"/>
    <w:rsid w:val="7B243BDB"/>
    <w:rsid w:val="7B2639D5"/>
    <w:rsid w:val="7B2704E6"/>
    <w:rsid w:val="7B286B9A"/>
    <w:rsid w:val="7B2A1FC7"/>
    <w:rsid w:val="7B2B241B"/>
    <w:rsid w:val="7B322F4F"/>
    <w:rsid w:val="7B325683"/>
    <w:rsid w:val="7B373932"/>
    <w:rsid w:val="7B3D0369"/>
    <w:rsid w:val="7B3F2203"/>
    <w:rsid w:val="7B465977"/>
    <w:rsid w:val="7B4F1751"/>
    <w:rsid w:val="7B5204F9"/>
    <w:rsid w:val="7B555533"/>
    <w:rsid w:val="7B5A6470"/>
    <w:rsid w:val="7B5E7074"/>
    <w:rsid w:val="7B6E3852"/>
    <w:rsid w:val="7B741218"/>
    <w:rsid w:val="7B765F3A"/>
    <w:rsid w:val="7B7714E5"/>
    <w:rsid w:val="7B7B340E"/>
    <w:rsid w:val="7B8051F7"/>
    <w:rsid w:val="7B87669C"/>
    <w:rsid w:val="7B910B48"/>
    <w:rsid w:val="7B9507DE"/>
    <w:rsid w:val="7B971737"/>
    <w:rsid w:val="7B992D84"/>
    <w:rsid w:val="7BB85DCA"/>
    <w:rsid w:val="7BBA1135"/>
    <w:rsid w:val="7BBF3C16"/>
    <w:rsid w:val="7BCD7043"/>
    <w:rsid w:val="7BD026D3"/>
    <w:rsid w:val="7BD94287"/>
    <w:rsid w:val="7BDA2B39"/>
    <w:rsid w:val="7BDA5152"/>
    <w:rsid w:val="7BE17F2A"/>
    <w:rsid w:val="7BFE4265"/>
    <w:rsid w:val="7C000DFC"/>
    <w:rsid w:val="7C0469D6"/>
    <w:rsid w:val="7C081A8C"/>
    <w:rsid w:val="7C0C15F1"/>
    <w:rsid w:val="7C0E47C3"/>
    <w:rsid w:val="7C1572FB"/>
    <w:rsid w:val="7C2413BC"/>
    <w:rsid w:val="7C4B4DC6"/>
    <w:rsid w:val="7C4C3B55"/>
    <w:rsid w:val="7C5066C5"/>
    <w:rsid w:val="7C57180B"/>
    <w:rsid w:val="7C637159"/>
    <w:rsid w:val="7C6B3F39"/>
    <w:rsid w:val="7C714109"/>
    <w:rsid w:val="7C8C703A"/>
    <w:rsid w:val="7C920399"/>
    <w:rsid w:val="7C942255"/>
    <w:rsid w:val="7C9C55B4"/>
    <w:rsid w:val="7C9C7110"/>
    <w:rsid w:val="7CA544A2"/>
    <w:rsid w:val="7CAA32EB"/>
    <w:rsid w:val="7CB00FA0"/>
    <w:rsid w:val="7CB4295B"/>
    <w:rsid w:val="7CB61C04"/>
    <w:rsid w:val="7CB64253"/>
    <w:rsid w:val="7CB757B1"/>
    <w:rsid w:val="7CB92797"/>
    <w:rsid w:val="7CBD6589"/>
    <w:rsid w:val="7CC75C18"/>
    <w:rsid w:val="7CC95089"/>
    <w:rsid w:val="7CCD4CCD"/>
    <w:rsid w:val="7CCD67D7"/>
    <w:rsid w:val="7CE45533"/>
    <w:rsid w:val="7CEE0140"/>
    <w:rsid w:val="7CF11D6C"/>
    <w:rsid w:val="7CF45745"/>
    <w:rsid w:val="7D040F8B"/>
    <w:rsid w:val="7D071031"/>
    <w:rsid w:val="7D125D38"/>
    <w:rsid w:val="7D1A7436"/>
    <w:rsid w:val="7D1B7BE4"/>
    <w:rsid w:val="7D1C5B89"/>
    <w:rsid w:val="7D2334DD"/>
    <w:rsid w:val="7D2D6511"/>
    <w:rsid w:val="7D372571"/>
    <w:rsid w:val="7D391F48"/>
    <w:rsid w:val="7D5370E1"/>
    <w:rsid w:val="7D626845"/>
    <w:rsid w:val="7D671530"/>
    <w:rsid w:val="7D6731DE"/>
    <w:rsid w:val="7D7F0374"/>
    <w:rsid w:val="7D8444A2"/>
    <w:rsid w:val="7D8F47AE"/>
    <w:rsid w:val="7D9A3B13"/>
    <w:rsid w:val="7DA12AC3"/>
    <w:rsid w:val="7DAA16F6"/>
    <w:rsid w:val="7DAA6C39"/>
    <w:rsid w:val="7DB33F81"/>
    <w:rsid w:val="7DC13754"/>
    <w:rsid w:val="7DD541DC"/>
    <w:rsid w:val="7DD846F3"/>
    <w:rsid w:val="7DDD1482"/>
    <w:rsid w:val="7DDD2456"/>
    <w:rsid w:val="7DDD618F"/>
    <w:rsid w:val="7DE14EF9"/>
    <w:rsid w:val="7DE30098"/>
    <w:rsid w:val="7DEA3215"/>
    <w:rsid w:val="7DEB0524"/>
    <w:rsid w:val="7DED4B99"/>
    <w:rsid w:val="7DED65B6"/>
    <w:rsid w:val="7DF072A5"/>
    <w:rsid w:val="7DF61FC9"/>
    <w:rsid w:val="7DF90B2F"/>
    <w:rsid w:val="7E032DB3"/>
    <w:rsid w:val="7E0471DB"/>
    <w:rsid w:val="7E161F9F"/>
    <w:rsid w:val="7E183EEA"/>
    <w:rsid w:val="7E32048C"/>
    <w:rsid w:val="7E333702"/>
    <w:rsid w:val="7E334E25"/>
    <w:rsid w:val="7E3A7AC2"/>
    <w:rsid w:val="7E3D393A"/>
    <w:rsid w:val="7E440B2B"/>
    <w:rsid w:val="7E49635F"/>
    <w:rsid w:val="7E4F7277"/>
    <w:rsid w:val="7E525199"/>
    <w:rsid w:val="7E535313"/>
    <w:rsid w:val="7E566D52"/>
    <w:rsid w:val="7E603347"/>
    <w:rsid w:val="7E64135D"/>
    <w:rsid w:val="7E6752B6"/>
    <w:rsid w:val="7E6C0EF6"/>
    <w:rsid w:val="7E6D27C5"/>
    <w:rsid w:val="7E6D4779"/>
    <w:rsid w:val="7E6E21FA"/>
    <w:rsid w:val="7E7F6D59"/>
    <w:rsid w:val="7E80292D"/>
    <w:rsid w:val="7E855AE7"/>
    <w:rsid w:val="7E8B66D3"/>
    <w:rsid w:val="7E8D2AAF"/>
    <w:rsid w:val="7E8E0F8F"/>
    <w:rsid w:val="7E926F37"/>
    <w:rsid w:val="7E936BB7"/>
    <w:rsid w:val="7E9C52ED"/>
    <w:rsid w:val="7E9D4991"/>
    <w:rsid w:val="7E9D718F"/>
    <w:rsid w:val="7EA52323"/>
    <w:rsid w:val="7EA62974"/>
    <w:rsid w:val="7EAA0221"/>
    <w:rsid w:val="7EB02A3C"/>
    <w:rsid w:val="7EB119EA"/>
    <w:rsid w:val="7EB31013"/>
    <w:rsid w:val="7EBE7A8A"/>
    <w:rsid w:val="7EBF59EE"/>
    <w:rsid w:val="7EC443AD"/>
    <w:rsid w:val="7EC806B7"/>
    <w:rsid w:val="7EED3DCE"/>
    <w:rsid w:val="7EF127D4"/>
    <w:rsid w:val="7EF47ED5"/>
    <w:rsid w:val="7EFA5662"/>
    <w:rsid w:val="7EFD07E5"/>
    <w:rsid w:val="7F001769"/>
    <w:rsid w:val="7F005F07"/>
    <w:rsid w:val="7F015DE6"/>
    <w:rsid w:val="7F0213A6"/>
    <w:rsid w:val="7F032DA2"/>
    <w:rsid w:val="7F086B76"/>
    <w:rsid w:val="7F0F3515"/>
    <w:rsid w:val="7F181DB2"/>
    <w:rsid w:val="7F1E29EB"/>
    <w:rsid w:val="7F2408B1"/>
    <w:rsid w:val="7F242C23"/>
    <w:rsid w:val="7F251450"/>
    <w:rsid w:val="7F253F27"/>
    <w:rsid w:val="7F311F38"/>
    <w:rsid w:val="7F381A47"/>
    <w:rsid w:val="7F3932D6"/>
    <w:rsid w:val="7F3B3199"/>
    <w:rsid w:val="7F3D07F6"/>
    <w:rsid w:val="7F3F037B"/>
    <w:rsid w:val="7F420BA2"/>
    <w:rsid w:val="7F4E72EA"/>
    <w:rsid w:val="7F531588"/>
    <w:rsid w:val="7F5F13E6"/>
    <w:rsid w:val="7F707B5B"/>
    <w:rsid w:val="7F7B362A"/>
    <w:rsid w:val="7F827F3A"/>
    <w:rsid w:val="7F856EF0"/>
    <w:rsid w:val="7F862B5C"/>
    <w:rsid w:val="7F8A303C"/>
    <w:rsid w:val="7F912BF1"/>
    <w:rsid w:val="7F950413"/>
    <w:rsid w:val="7F9E1604"/>
    <w:rsid w:val="7F9E7C88"/>
    <w:rsid w:val="7FBE2226"/>
    <w:rsid w:val="7FC17629"/>
    <w:rsid w:val="7FCC65E5"/>
    <w:rsid w:val="7FE06859"/>
    <w:rsid w:val="7FF10BAE"/>
    <w:rsid w:val="7FF502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name="toc 5"/>
    <w:lsdException w:qFormat="1" w:unhideWhenUsed="0" w:uiPriority="0" w:semiHidden="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4">
    <w:name w:val="heading 2"/>
    <w:basedOn w:val="3"/>
    <w:next w:val="1"/>
    <w:link w:val="100"/>
    <w:qFormat/>
    <w:uiPriority w:val="0"/>
    <w:pPr>
      <w:numPr>
        <w:ilvl w:val="1"/>
      </w:numPr>
      <w:pBdr>
        <w:top w:val="none" w:color="auto" w:sz="0" w:space="0"/>
      </w:pBdr>
      <w:spacing w:before="180"/>
      <w:ind w:left="576"/>
      <w:outlineLvl w:val="1"/>
    </w:pPr>
    <w:rPr>
      <w:sz w:val="32"/>
    </w:rPr>
  </w:style>
  <w:style w:type="paragraph" w:styleId="5">
    <w:name w:val="heading 3"/>
    <w:basedOn w:val="4"/>
    <w:next w:val="1"/>
    <w:link w:val="99"/>
    <w:qFormat/>
    <w:uiPriority w:val="0"/>
    <w:pPr>
      <w:numPr>
        <w:ilvl w:val="2"/>
      </w:numPr>
      <w:spacing w:before="120"/>
      <w:outlineLvl w:val="2"/>
    </w:pPr>
    <w:rPr>
      <w:sz w:val="28"/>
    </w:rPr>
  </w:style>
  <w:style w:type="paragraph" w:styleId="6">
    <w:name w:val="heading 4"/>
    <w:basedOn w:val="1"/>
    <w:next w:val="1"/>
    <w:qFormat/>
    <w:uiPriority w:val="0"/>
    <w:pPr>
      <w:outlineLvl w:val="3"/>
    </w:pPr>
    <w:rPr>
      <w:sz w:val="24"/>
    </w:rPr>
  </w:style>
  <w:style w:type="paragraph" w:styleId="7">
    <w:name w:val="heading 5"/>
    <w:basedOn w:val="6"/>
    <w:next w:val="1"/>
    <w:qFormat/>
    <w:uiPriority w:val="0"/>
    <w:pPr>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numPr>
        <w:ilvl w:val="7"/>
      </w:numPr>
      <w:outlineLvl w:val="7"/>
    </w:pPr>
  </w:style>
  <w:style w:type="paragraph" w:styleId="12">
    <w:name w:val="heading 9"/>
    <w:basedOn w:val="11"/>
    <w:next w:val="1"/>
    <w:qFormat/>
    <w:uiPriority w:val="0"/>
    <w:pPr>
      <w:numPr>
        <w:ilvl w:val="8"/>
      </w:numPr>
      <w:outlineLvl w:val="8"/>
    </w:pPr>
  </w:style>
  <w:style w:type="character" w:default="1" w:styleId="34">
    <w:name w:val="Default Paragraph Font"/>
    <w:semiHidden/>
    <w:unhideWhenUsed/>
    <w:qFormat/>
    <w:uiPriority w:val="1"/>
  </w:style>
  <w:style w:type="table" w:default="1" w:styleId="3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sv" w:eastAsia="sv"/>
    </w:rPr>
    <w:tblPr>
      <w:tblCellMar>
        <w:top w:w="0" w:type="dxa"/>
        <w:left w:w="108" w:type="dxa"/>
        <w:bottom w:w="0" w:type="dxa"/>
        <w:right w:w="108" w:type="dxa"/>
      </w:tblCellMar>
    </w:tblPr>
  </w:style>
  <w:style w:type="paragraph" w:styleId="2">
    <w:name w:val="Body Text"/>
    <w:basedOn w:val="1"/>
    <w:link w:val="98"/>
    <w:qFormat/>
    <w:uiPriority w:val="0"/>
    <w:pPr>
      <w:spacing w:after="120"/>
      <w:jc w:val="both"/>
    </w:pPr>
    <w:rPr>
      <w:lang w:eastAsia="zh-CN"/>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link w:val="95"/>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caption"/>
    <w:basedOn w:val="1"/>
    <w:next w:val="1"/>
    <w:unhideWhenUsed/>
    <w:qFormat/>
    <w:uiPriority w:val="35"/>
    <w:pPr>
      <w:spacing w:after="200"/>
      <w:jc w:val="center"/>
    </w:pPr>
    <w:rPr>
      <w:rFonts w:ascii="Arial" w:hAnsi="Arial"/>
      <w:i/>
      <w:iCs/>
      <w:sz w:val="18"/>
      <w:szCs w:val="18"/>
    </w:rPr>
  </w:style>
  <w:style w:type="paragraph" w:styleId="24">
    <w:name w:val="annotation text"/>
    <w:basedOn w:val="1"/>
    <w:link w:val="90"/>
    <w:qFormat/>
    <w:uiPriority w:val="0"/>
    <w:pPr>
      <w:keepNext w:val="0"/>
      <w:keepLines w:val="0"/>
      <w:widowControl w:val="0"/>
      <w:suppressLineNumbers w:val="0"/>
      <w:spacing w:before="0" w:beforeAutospacing="0" w:after="0" w:afterAutospacing="0"/>
      <w:ind w:left="0" w:right="0"/>
      <w:jc w:val="left"/>
    </w:pPr>
    <w:rPr>
      <w:rFonts w:hint="default" w:ascii="Times New Roman" w:hAnsi="Times New Roman" w:eastAsia="宋体" w:cs="Times New Roman"/>
      <w:kern w:val="2"/>
      <w:sz w:val="21"/>
      <w:szCs w:val="24"/>
      <w:lang w:val="en-US" w:eastAsia="zh-CN" w:bidi="ar"/>
    </w:rPr>
  </w:style>
  <w:style w:type="paragraph" w:styleId="25">
    <w:name w:val="toc 8"/>
    <w:basedOn w:val="22"/>
    <w:next w:val="1"/>
    <w:qFormat/>
    <w:uiPriority w:val="39"/>
    <w:pPr>
      <w:spacing w:before="180"/>
      <w:ind w:left="2693" w:hanging="2693"/>
    </w:pPr>
    <w:rPr>
      <w:b/>
    </w:rPr>
  </w:style>
  <w:style w:type="paragraph" w:styleId="26">
    <w:name w:val="Balloon Text"/>
    <w:basedOn w:val="1"/>
    <w:link w:val="74"/>
    <w:qFormat/>
    <w:uiPriority w:val="0"/>
    <w:pPr>
      <w:spacing w:after="0"/>
    </w:pPr>
    <w:rPr>
      <w:rFonts w:ascii="Segoe UI" w:hAnsi="Segoe UI" w:cs="Segoe UI"/>
      <w:sz w:val="18"/>
      <w:szCs w:val="18"/>
    </w:rPr>
  </w:style>
  <w:style w:type="paragraph" w:styleId="27">
    <w:name w:val="footer"/>
    <w:basedOn w:val="1"/>
    <w:qFormat/>
    <w:uiPriority w:val="0"/>
    <w:pPr>
      <w:jc w:val="center"/>
    </w:pPr>
    <w:rPr>
      <w:i/>
    </w:rPr>
  </w:style>
  <w:style w:type="paragraph" w:styleId="28">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9">
    <w:name w:val="toc 9"/>
    <w:basedOn w:val="25"/>
    <w:next w:val="1"/>
    <w:qFormat/>
    <w:uiPriority w:val="39"/>
    <w:pPr>
      <w:ind w:left="1418" w:hanging="1418"/>
    </w:pPr>
  </w:style>
  <w:style w:type="paragraph" w:styleId="30">
    <w:name w:val="Normal (Web)"/>
    <w:basedOn w:val="1"/>
    <w:qFormat/>
    <w:uiPriority w:val="0"/>
    <w:rPr>
      <w:sz w:val="24"/>
    </w:rPr>
  </w:style>
  <w:style w:type="paragraph" w:styleId="31">
    <w:name w:val="annotation subject"/>
    <w:basedOn w:val="24"/>
    <w:next w:val="24"/>
    <w:link w:val="91"/>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page number"/>
    <w:basedOn w:val="34"/>
    <w:semiHidden/>
    <w:qFormat/>
    <w:uiPriority w:val="0"/>
  </w:style>
  <w:style w:type="character" w:styleId="36">
    <w:name w:val="FollowedHyperlink"/>
    <w:basedOn w:val="34"/>
    <w:qFormat/>
    <w:uiPriority w:val="0"/>
    <w:rPr>
      <w:color w:val="954F72" w:themeColor="followedHyperlink"/>
      <w:u w:val="single"/>
      <w14:textFill>
        <w14:solidFill>
          <w14:schemeClr w14:val="folHlink"/>
        </w14:solidFill>
      </w14:textFill>
    </w:rPr>
  </w:style>
  <w:style w:type="character" w:styleId="37">
    <w:name w:val="Hyperlink"/>
    <w:basedOn w:val="34"/>
    <w:qFormat/>
    <w:uiPriority w:val="0"/>
    <w:rPr>
      <w:color w:val="0563C1" w:themeColor="hyperlink"/>
      <w:u w:val="single"/>
      <w14:textFill>
        <w14:solidFill>
          <w14:schemeClr w14:val="hlink"/>
        </w14:solidFill>
      </w14:textFill>
    </w:rPr>
  </w:style>
  <w:style w:type="character" w:styleId="38">
    <w:name w:val="annotation reference"/>
    <w:basedOn w:val="34"/>
    <w:qFormat/>
    <w:uiPriority w:val="0"/>
    <w:rPr>
      <w:sz w:val="21"/>
      <w:szCs w:val="21"/>
    </w:rPr>
  </w:style>
  <w:style w:type="paragraph" w:customStyle="1" w:styleId="39">
    <w:name w:val="EQ"/>
    <w:basedOn w:val="1"/>
    <w:next w:val="1"/>
    <w:qFormat/>
    <w:uiPriority w:val="0"/>
    <w:pPr>
      <w:keepLines/>
      <w:tabs>
        <w:tab w:val="center" w:pos="4536"/>
        <w:tab w:val="right" w:pos="9072"/>
      </w:tabs>
    </w:pPr>
  </w:style>
  <w:style w:type="character" w:customStyle="1" w:styleId="40">
    <w:name w:val="ZGSM"/>
    <w:qFormat/>
    <w:uiPriority w:val="0"/>
  </w:style>
  <w:style w:type="paragraph" w:customStyle="1" w:styleId="4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42">
    <w:name w:val="TT"/>
    <w:basedOn w:val="3"/>
    <w:next w:val="1"/>
    <w:qFormat/>
    <w:uiPriority w:val="0"/>
    <w:pPr>
      <w:outlineLvl w:val="9"/>
    </w:pPr>
  </w:style>
  <w:style w:type="paragraph" w:customStyle="1" w:styleId="43">
    <w:name w:val="NF"/>
    <w:basedOn w:val="44"/>
    <w:qFormat/>
    <w:uiPriority w:val="0"/>
    <w:pPr>
      <w:keepNext/>
      <w:spacing w:after="0"/>
    </w:pPr>
    <w:rPr>
      <w:rFonts w:ascii="Arial" w:hAnsi="Arial"/>
      <w:sz w:val="18"/>
    </w:rPr>
  </w:style>
  <w:style w:type="paragraph" w:customStyle="1" w:styleId="44">
    <w:name w:val="NO"/>
    <w:basedOn w:val="1"/>
    <w:qFormat/>
    <w:uiPriority w:val="0"/>
    <w:pPr>
      <w:keepLines/>
      <w:ind w:left="1135" w:hanging="851"/>
    </w:pPr>
  </w:style>
  <w:style w:type="paragraph" w:customStyle="1" w:styleId="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6">
    <w:name w:val="TAR"/>
    <w:basedOn w:val="47"/>
    <w:qFormat/>
    <w:uiPriority w:val="0"/>
    <w:pPr>
      <w:jc w:val="right"/>
    </w:pPr>
  </w:style>
  <w:style w:type="paragraph" w:customStyle="1" w:styleId="47">
    <w:name w:val="TAL"/>
    <w:basedOn w:val="1"/>
    <w:link w:val="89"/>
    <w:qFormat/>
    <w:uiPriority w:val="0"/>
    <w:pPr>
      <w:keepNext/>
      <w:keepLines/>
      <w:spacing w:after="0"/>
    </w:pPr>
    <w:rPr>
      <w:rFonts w:ascii="Arial" w:hAnsi="Arial"/>
      <w:sz w:val="18"/>
    </w:rPr>
  </w:style>
  <w:style w:type="paragraph" w:customStyle="1" w:styleId="48">
    <w:name w:val="TAH"/>
    <w:basedOn w:val="49"/>
    <w:link w:val="86"/>
    <w:qFormat/>
    <w:uiPriority w:val="0"/>
    <w:rPr>
      <w:b/>
    </w:rPr>
  </w:style>
  <w:style w:type="paragraph" w:customStyle="1" w:styleId="49">
    <w:name w:val="TAC"/>
    <w:basedOn w:val="47"/>
    <w:link w:val="85"/>
    <w:qFormat/>
    <w:uiPriority w:val="0"/>
    <w:pPr>
      <w:jc w:val="center"/>
    </w:pPr>
  </w:style>
  <w:style w:type="paragraph" w:customStyle="1" w:styleId="50">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51">
    <w:name w:val="EX"/>
    <w:basedOn w:val="1"/>
    <w:qFormat/>
    <w:uiPriority w:val="0"/>
    <w:pPr>
      <w:keepLines/>
      <w:ind w:left="1702" w:hanging="1418"/>
    </w:pPr>
  </w:style>
  <w:style w:type="paragraph" w:customStyle="1" w:styleId="52">
    <w:name w:val="FP"/>
    <w:basedOn w:val="1"/>
    <w:qFormat/>
    <w:uiPriority w:val="0"/>
    <w:pPr>
      <w:spacing w:after="0"/>
    </w:pPr>
  </w:style>
  <w:style w:type="paragraph" w:customStyle="1" w:styleId="53">
    <w:name w:val="NW"/>
    <w:basedOn w:val="44"/>
    <w:qFormat/>
    <w:uiPriority w:val="0"/>
    <w:pPr>
      <w:spacing w:after="0"/>
    </w:pPr>
  </w:style>
  <w:style w:type="paragraph" w:customStyle="1" w:styleId="54">
    <w:name w:val="EW"/>
    <w:basedOn w:val="51"/>
    <w:qFormat/>
    <w:uiPriority w:val="0"/>
    <w:pPr>
      <w:spacing w:after="0"/>
    </w:pPr>
  </w:style>
  <w:style w:type="paragraph" w:customStyle="1" w:styleId="55">
    <w:name w:val="B1"/>
    <w:basedOn w:val="15"/>
    <w:link w:val="87"/>
    <w:qFormat/>
    <w:uiPriority w:val="0"/>
    <w:pPr>
      <w:ind w:left="568" w:hanging="284"/>
    </w:pPr>
  </w:style>
  <w:style w:type="paragraph" w:customStyle="1" w:styleId="56">
    <w:name w:val="Editor's Note"/>
    <w:basedOn w:val="44"/>
    <w:qFormat/>
    <w:uiPriority w:val="0"/>
    <w:rPr>
      <w:color w:val="FF0000"/>
    </w:r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62">
    <w:name w:val="TAN"/>
    <w:basedOn w:val="47"/>
    <w:qFormat/>
    <w:uiPriority w:val="0"/>
    <w:pPr>
      <w:ind w:left="851" w:hanging="851"/>
    </w:pPr>
  </w:style>
  <w:style w:type="paragraph" w:customStyle="1" w:styleId="6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4">
    <w:name w:val="TF"/>
    <w:basedOn w:val="57"/>
    <w:qFormat/>
    <w:uiPriority w:val="0"/>
    <w:pPr>
      <w:keepNext w:val="0"/>
      <w:spacing w:before="0" w:after="240"/>
    </w:pPr>
  </w:style>
  <w:style w:type="paragraph" w:customStyle="1" w:styleId="6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6">
    <w:name w:val="B2"/>
    <w:basedOn w:val="14"/>
    <w:link w:val="88"/>
    <w:qFormat/>
    <w:uiPriority w:val="0"/>
    <w:pPr>
      <w:ind w:left="851" w:hanging="284"/>
    </w:pPr>
  </w:style>
  <w:style w:type="paragraph" w:customStyle="1" w:styleId="67">
    <w:name w:val="B3"/>
    <w:basedOn w:val="13"/>
    <w:qFormat/>
    <w:uiPriority w:val="0"/>
    <w:pPr>
      <w:ind w:left="1135" w:hanging="284"/>
    </w:pPr>
  </w:style>
  <w:style w:type="paragraph" w:customStyle="1" w:styleId="68">
    <w:name w:val="B4"/>
    <w:basedOn w:val="1"/>
    <w:qFormat/>
    <w:uiPriority w:val="0"/>
    <w:pPr>
      <w:ind w:left="1418" w:hanging="284"/>
    </w:pPr>
  </w:style>
  <w:style w:type="paragraph" w:customStyle="1" w:styleId="69">
    <w:name w:val="B5"/>
    <w:basedOn w:val="1"/>
    <w:qFormat/>
    <w:uiPriority w:val="0"/>
    <w:pPr>
      <w:ind w:left="1702" w:hanging="284"/>
    </w:pPr>
  </w:style>
  <w:style w:type="paragraph" w:customStyle="1" w:styleId="70">
    <w:name w:val="ZTD"/>
    <w:basedOn w:val="59"/>
    <w:qFormat/>
    <w:uiPriority w:val="0"/>
    <w:pPr>
      <w:framePr w:hRule="auto" w:y="852"/>
    </w:pPr>
    <w:rPr>
      <w:i w:val="0"/>
      <w:sz w:val="40"/>
    </w:rPr>
  </w:style>
  <w:style w:type="paragraph" w:customStyle="1" w:styleId="71">
    <w:name w:val="ZV"/>
    <w:basedOn w:val="61"/>
    <w:qFormat/>
    <w:uiPriority w:val="0"/>
    <w:pPr>
      <w:framePr w:y="16161"/>
    </w:pPr>
  </w:style>
  <w:style w:type="paragraph" w:customStyle="1" w:styleId="72">
    <w:name w:val="TAJ"/>
    <w:basedOn w:val="57"/>
    <w:qFormat/>
    <w:uiPriority w:val="0"/>
  </w:style>
  <w:style w:type="paragraph" w:customStyle="1" w:styleId="73">
    <w:name w:val="Guidance"/>
    <w:basedOn w:val="1"/>
    <w:qFormat/>
    <w:uiPriority w:val="0"/>
    <w:rPr>
      <w:i/>
      <w:color w:val="0000FF"/>
    </w:rPr>
  </w:style>
  <w:style w:type="character" w:customStyle="1" w:styleId="74">
    <w:name w:val="批注框文本 字符"/>
    <w:link w:val="26"/>
    <w:qFormat/>
    <w:uiPriority w:val="0"/>
    <w:rPr>
      <w:rFonts w:ascii="Segoe UI" w:hAnsi="Segoe UI" w:cs="Segoe UI"/>
      <w:sz w:val="18"/>
      <w:szCs w:val="18"/>
      <w:lang w:eastAsia="en-US"/>
    </w:rPr>
  </w:style>
  <w:style w:type="character" w:customStyle="1" w:styleId="75">
    <w:name w:val="Unresolved Mention"/>
    <w:basedOn w:val="34"/>
    <w:semiHidden/>
    <w:unhideWhenUsed/>
    <w:qFormat/>
    <w:uiPriority w:val="99"/>
    <w:rPr>
      <w:color w:val="605E5C"/>
      <w:shd w:val="clear" w:color="auto" w:fill="E1DFDD"/>
    </w:rPr>
  </w:style>
  <w:style w:type="paragraph" w:styleId="76">
    <w:name w:val="List Paragraph"/>
    <w:basedOn w:val="1"/>
    <w:link w:val="77"/>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7">
    <w:name w:val="列出段落 字符"/>
    <w:link w:val="76"/>
    <w:qFormat/>
    <w:locked/>
    <w:uiPriority w:val="34"/>
    <w:rPr>
      <w:rFonts w:asciiTheme="minorHAnsi" w:hAnsiTheme="minorHAnsi" w:eastAsiaTheme="minorHAnsi" w:cstheme="minorBidi"/>
      <w:sz w:val="22"/>
      <w:szCs w:val="22"/>
      <w:lang w:val="sv-SE" w:eastAsia="en-US"/>
    </w:rPr>
  </w:style>
  <w:style w:type="paragraph" w:customStyle="1" w:styleId="78">
    <w:name w:val="CR Cover Page"/>
    <w:link w:val="79"/>
    <w:qFormat/>
    <w:uiPriority w:val="0"/>
    <w:pPr>
      <w:spacing w:after="120"/>
    </w:pPr>
    <w:rPr>
      <w:rFonts w:ascii="Arial" w:hAnsi="Arial" w:eastAsia="Times New Roman" w:cs="Times New Roman"/>
      <w:lang w:val="en-GB" w:eastAsia="en-US" w:bidi="ar-SA"/>
    </w:rPr>
  </w:style>
  <w:style w:type="character" w:customStyle="1" w:styleId="79">
    <w:name w:val="CR Cover Page Char"/>
    <w:link w:val="78"/>
    <w:qFormat/>
    <w:uiPriority w:val="0"/>
    <w:rPr>
      <w:rFonts w:ascii="Arial" w:hAnsi="Arial"/>
      <w:lang w:eastAsia="en-US"/>
    </w:rPr>
  </w:style>
  <w:style w:type="paragraph" w:customStyle="1" w:styleId="80">
    <w:name w:val="RAN4 H1"/>
    <w:basedOn w:val="1"/>
    <w:next w:val="1"/>
    <w:link w:val="81"/>
    <w:qFormat/>
    <w:uiPriority w:val="0"/>
    <w:pPr>
      <w:keepNext/>
      <w:keepLines/>
      <w:numPr>
        <w:ilvl w:val="0"/>
        <w:numId w:val="2"/>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81">
    <w:name w:val="RAN4 H1 Char"/>
    <w:basedOn w:val="34"/>
    <w:link w:val="80"/>
    <w:qFormat/>
    <w:uiPriority w:val="0"/>
    <w:rPr>
      <w:rFonts w:ascii="Arial" w:hAnsi="Arial" w:eastAsia="宋体" w:cs="Times New Roman"/>
      <w:sz w:val="36"/>
      <w:szCs w:val="20"/>
      <w:lang w:val="en-GB"/>
    </w:rPr>
  </w:style>
  <w:style w:type="paragraph" w:customStyle="1" w:styleId="82">
    <w:name w:val="RAN4 H2"/>
    <w:basedOn w:val="4"/>
    <w:next w:val="1"/>
    <w:qFormat/>
    <w:uiPriority w:val="0"/>
    <w:pPr>
      <w:numPr>
        <w:numId w:val="2"/>
      </w:numPr>
    </w:pPr>
    <w:rPr>
      <w:lang w:val="en-US"/>
    </w:rPr>
  </w:style>
  <w:style w:type="paragraph" w:customStyle="1" w:styleId="83">
    <w:name w:val="RAN4 proposal"/>
    <w:basedOn w:val="23"/>
    <w:next w:val="1"/>
    <w:qFormat/>
    <w:uiPriority w:val="0"/>
    <w:pPr>
      <w:numPr>
        <w:ilvl w:val="0"/>
        <w:numId w:val="3"/>
      </w:numPr>
      <w:ind w:left="0" w:firstLine="0"/>
      <w:jc w:val="left"/>
    </w:pPr>
    <w:rPr>
      <w:rFonts w:ascii="Times New Roman" w:hAnsi="Times New Roman"/>
      <w:b/>
      <w:i w:val="0"/>
      <w:sz w:val="20"/>
    </w:rPr>
  </w:style>
  <w:style w:type="paragraph" w:customStyle="1" w:styleId="84">
    <w:name w:val="Reference"/>
    <w:basedOn w:val="1"/>
    <w:qFormat/>
    <w:uiPriority w:val="0"/>
    <w:pPr>
      <w:spacing w:after="0"/>
      <w:ind w:left="567" w:hanging="283"/>
    </w:pPr>
    <w:rPr>
      <w:lang w:eastAsia="en-GB"/>
    </w:rPr>
  </w:style>
  <w:style w:type="character" w:customStyle="1" w:styleId="85">
    <w:name w:val="TAC Char"/>
    <w:link w:val="49"/>
    <w:qFormat/>
    <w:locked/>
    <w:uiPriority w:val="0"/>
    <w:rPr>
      <w:rFonts w:ascii="Arial" w:hAnsi="Arial" w:eastAsia="Times New Roman"/>
      <w:sz w:val="18"/>
      <w:lang w:val="en-GB" w:eastAsia="en-US"/>
    </w:rPr>
  </w:style>
  <w:style w:type="character" w:customStyle="1" w:styleId="86">
    <w:name w:val="TAH Car"/>
    <w:link w:val="48"/>
    <w:qFormat/>
    <w:locked/>
    <w:uiPriority w:val="0"/>
    <w:rPr>
      <w:rFonts w:ascii="Arial" w:hAnsi="Arial" w:eastAsia="Times New Roman"/>
      <w:b/>
      <w:sz w:val="18"/>
      <w:lang w:val="en-GB" w:eastAsia="en-US"/>
    </w:rPr>
  </w:style>
  <w:style w:type="character" w:customStyle="1" w:styleId="87">
    <w:name w:val="B1 (文字)"/>
    <w:link w:val="55"/>
    <w:qFormat/>
    <w:locked/>
    <w:uiPriority w:val="0"/>
    <w:rPr>
      <w:rFonts w:eastAsia="Times New Roman"/>
      <w:lang w:val="en-GB" w:eastAsia="en-US"/>
    </w:rPr>
  </w:style>
  <w:style w:type="character" w:customStyle="1" w:styleId="88">
    <w:name w:val="B2 Char"/>
    <w:link w:val="66"/>
    <w:qFormat/>
    <w:uiPriority w:val="0"/>
    <w:rPr>
      <w:rFonts w:eastAsia="Times New Roman"/>
      <w:lang w:val="en-GB" w:eastAsia="en-US"/>
    </w:rPr>
  </w:style>
  <w:style w:type="character" w:customStyle="1" w:styleId="89">
    <w:name w:val="TAL Char"/>
    <w:link w:val="47"/>
    <w:qFormat/>
    <w:locked/>
    <w:uiPriority w:val="0"/>
    <w:rPr>
      <w:rFonts w:ascii="Arial" w:hAnsi="Arial" w:eastAsia="Times New Roman"/>
      <w:sz w:val="18"/>
      <w:lang w:val="en-GB" w:eastAsia="en-US"/>
    </w:rPr>
  </w:style>
  <w:style w:type="character" w:customStyle="1" w:styleId="90">
    <w:name w:val="批注文字 字符"/>
    <w:basedOn w:val="34"/>
    <w:link w:val="24"/>
    <w:qFormat/>
    <w:uiPriority w:val="0"/>
    <w:rPr>
      <w:rFonts w:eastAsia="Times New Roman"/>
      <w:lang w:val="en-GB" w:eastAsia="en-US"/>
    </w:rPr>
  </w:style>
  <w:style w:type="character" w:customStyle="1" w:styleId="91">
    <w:name w:val="批注主题 字符"/>
    <w:basedOn w:val="90"/>
    <w:link w:val="31"/>
    <w:qFormat/>
    <w:uiPriority w:val="0"/>
    <w:rPr>
      <w:rFonts w:eastAsia="Times New Roman"/>
      <w:b/>
      <w:bCs/>
      <w:lang w:val="en-GB" w:eastAsia="en-US"/>
    </w:rPr>
  </w:style>
  <w:style w:type="paragraph" w:customStyle="1" w:styleId="92">
    <w:name w:val="Agreement"/>
    <w:basedOn w:val="1"/>
    <w:next w:val="93"/>
    <w:qFormat/>
    <w:uiPriority w:val="0"/>
    <w:pPr>
      <w:numPr>
        <w:ilvl w:val="0"/>
        <w:numId w:val="4"/>
      </w:numPr>
      <w:tabs>
        <w:tab w:val="left" w:pos="1619"/>
      </w:tabs>
      <w:spacing w:before="60"/>
      <w:ind w:left="1616" w:hanging="357"/>
    </w:pPr>
    <w:rPr>
      <w:b/>
    </w:rPr>
  </w:style>
  <w:style w:type="paragraph" w:customStyle="1" w:styleId="93">
    <w:name w:val="Doc-text2"/>
    <w:basedOn w:val="1"/>
    <w:qFormat/>
    <w:uiPriority w:val="0"/>
    <w:pPr>
      <w:widowControl/>
      <w:tabs>
        <w:tab w:val="left" w:pos="1622"/>
      </w:tabs>
      <w:ind w:left="1622" w:hanging="363"/>
      <w:jc w:val="left"/>
    </w:pPr>
    <w:rPr>
      <w:rFonts w:ascii="Arial" w:hAnsi="Arial" w:eastAsia="MS Mincho"/>
      <w:szCs w:val="24"/>
      <w:lang w:val="en-GB" w:eastAsia="en-GB"/>
    </w:rPr>
  </w:style>
  <w:style w:type="paragraph" w:customStyle="1" w:styleId="94">
    <w:name w:val="Doc-title"/>
    <w:basedOn w:val="1"/>
    <w:next w:val="93"/>
    <w:qFormat/>
    <w:uiPriority w:val="0"/>
    <w:pPr>
      <w:spacing w:before="60"/>
      <w:ind w:left="1259" w:hanging="1259"/>
    </w:pPr>
  </w:style>
  <w:style w:type="character" w:customStyle="1" w:styleId="95">
    <w:name w:val="目录 4 Char"/>
    <w:link w:val="19"/>
    <w:qFormat/>
    <w:uiPriority w:val="0"/>
  </w:style>
  <w:style w:type="paragraph" w:customStyle="1" w:styleId="96">
    <w:name w:val="列出段落"/>
    <w:basedOn w:val="1"/>
    <w:link w:val="97"/>
    <w:qFormat/>
    <w:uiPriority w:val="0"/>
    <w:pPr>
      <w:keepNext w:val="0"/>
      <w:keepLines w:val="0"/>
      <w:widowControl/>
      <w:suppressLineNumbers w:val="0"/>
      <w:overflowPunct w:val="0"/>
      <w:autoSpaceDE w:val="0"/>
      <w:autoSpaceDN w:val="0"/>
      <w:adjustRightInd w:val="0"/>
      <w:spacing w:before="0" w:beforeAutospacing="0" w:after="120" w:afterAutospacing="0"/>
      <w:ind w:left="0" w:right="0"/>
      <w:jc w:val="left"/>
    </w:pPr>
    <w:rPr>
      <w:rFonts w:hint="default" w:ascii="Times New Roman" w:hAnsi="Times New Roman" w:eastAsia="等线" w:cs="Times New Roman"/>
      <w:kern w:val="2"/>
      <w:sz w:val="21"/>
      <w:szCs w:val="24"/>
      <w:lang w:val="en-US" w:eastAsia="zh-CN" w:bidi="ar"/>
    </w:rPr>
  </w:style>
  <w:style w:type="character" w:customStyle="1" w:styleId="97">
    <w:name w:val="列出段落 字符1"/>
    <w:basedOn w:val="34"/>
    <w:link w:val="96"/>
    <w:qFormat/>
    <w:uiPriority w:val="0"/>
    <w:rPr>
      <w:rFonts w:hint="default" w:ascii="Times New Roman" w:hAnsi="Times New Roman" w:cs="Times New Roman"/>
      <w:szCs w:val="24"/>
    </w:rPr>
  </w:style>
  <w:style w:type="character" w:customStyle="1" w:styleId="98">
    <w:name w:val="正文文本 字符"/>
    <w:basedOn w:val="34"/>
    <w:link w:val="2"/>
    <w:qFormat/>
    <w:uiPriority w:val="0"/>
    <w:rPr>
      <w:kern w:val="2"/>
      <w:sz w:val="21"/>
      <w:szCs w:val="24"/>
    </w:rPr>
  </w:style>
  <w:style w:type="character" w:customStyle="1" w:styleId="99">
    <w:name w:val="标题 3 字符"/>
    <w:basedOn w:val="34"/>
    <w:link w:val="5"/>
    <w:qFormat/>
    <w:uiPriority w:val="0"/>
    <w:rPr>
      <w:rFonts w:hint="default" w:ascii="Cambria" w:hAnsi="Cambria" w:eastAsia="宋体" w:cs="Times New Roman"/>
      <w:b/>
      <w:bCs/>
      <w:kern w:val="44"/>
      <w:sz w:val="32"/>
      <w:szCs w:val="32"/>
    </w:rPr>
  </w:style>
  <w:style w:type="character" w:customStyle="1" w:styleId="100">
    <w:name w:val="标题 2 字符"/>
    <w:basedOn w:val="34"/>
    <w:link w:val="4"/>
    <w:qFormat/>
    <w:uiPriority w:val="0"/>
    <w:rPr>
      <w:rFonts w:hint="default" w:ascii="Cambria" w:hAnsi="Cambria" w:eastAsia="宋体" w:cs="Times New Roman"/>
      <w:b/>
      <w:bCs/>
      <w:kern w:val="2"/>
      <w:sz w:val="32"/>
      <w:szCs w:val="32"/>
    </w:rPr>
  </w:style>
  <w:style w:type="character" w:customStyle="1" w:styleId="101">
    <w:name w:val="标题 4 字符"/>
    <w:basedOn w:val="34"/>
    <w:qFormat/>
    <w:uiPriority w:val="0"/>
    <w:rPr>
      <w:rFonts w:hint="default" w:ascii="Arial" w:hAnsi="Arial" w:eastAsia="Times New Roman" w:cs="Arial"/>
      <w:sz w:val="24"/>
      <w:lang w:eastAsia="en-US"/>
    </w:rPr>
  </w:style>
  <w:style w:type="character" w:customStyle="1" w:styleId="102">
    <w:name w:val="B1 Char"/>
    <w:basedOn w:val="34"/>
    <w:qFormat/>
    <w:uiPriority w:val="0"/>
    <w:rPr>
      <w:rFonts w:hint="default" w:ascii="Times New Roman" w:hAnsi="Times New Roman" w:eastAsia="Times New Roman" w:cs="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02F6F-FC88-4849-BC6D-822CA4248270}">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10</Pages>
  <Words>4816</Words>
  <Characters>27453</Characters>
  <Lines>228</Lines>
  <Paragraphs>64</Paragraphs>
  <TotalTime>1</TotalTime>
  <ScaleCrop>false</ScaleCrop>
  <LinksUpToDate>false</LinksUpToDate>
  <CharactersWithSpaces>32205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2024-04-08T22:47:00Z</dcterms:created>
  <dc:creator>MCC Support</dc:creator>
  <cp:keywords>&lt;keyword[, keyword, ]&gt;</cp:keywords>
  <cp:lastModifiedBy>ZTE Derrick meeting-pre</cp:lastModifiedBy>
  <cp:lastPrinted>2019-02-25T14:05:00Z</cp:lastPrinted>
  <dcterms:modified xsi:type="dcterms:W3CDTF">2025-08-15T12:18:42Z</dcterms:modified>
  <dc:subject>&lt;Title 1; Title 2&gt; (Release 14 | 13 |12)</dc:subject>
  <dc:title>3GPP TS ab.cde</dc:title>
  <cp:revision>1019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0A9E7C98907E4EB1B55C8BD44C696263</vt:lpwstr>
  </property>
</Properties>
</file>